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1054/2012 vom 5. Juni 2013</w:t>
      </w:r>
    </w:p>
    <w:p>
      <w:r>
        <w:t>Bundesgericht, 2013-06-05, DE</w:t>
      </w:r>
    </w:p>
    <w:p>
      <w:r>
        <w:rPr>
          <w:b/>
        </w:rPr>
        <w:t xml:space="preserve">Quelle: </w:t>
      </w:r>
      <w:r>
        <w:t>https://mcp.opencaselaw.ch/entscheid/bger_2C_1054_2012</w:t>
      </w:r>
    </w:p>
    <w:p>
      <w:r>
        <w:t>FR: TF 2C 1054/2012 du 5 juin 2013</w:t>
      </w:r>
    </w:p>
    <w:p>
      <w:r>
        <w:t>IT: TF 2C 1054/2012 del 5 giugno 2013</w:t>
      </w:r>
    </w:p>
    <w:p>
      <w:pPr>
        <w:pStyle w:val="Heading2"/>
      </w:pPr>
      <w:r>
        <w:t>Regeste</w:t>
      </w:r>
    </w:p>
    <w:p>
      <w:r>
        <w:t>Vertrieb von Tickets im Hallenstadion Zürich (Untersuchung 31-0221) | Immaterialgüter-, Wettbewerbs- und Kartellrecht</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Öffentlich-rechtliche Entscheide der WEKO können beim Bundesverwaltungsgericht und hernach mit Beschwerde in öffentlich-rechtlichen Angelegenheiten beim Bundesgericht angefochten werden (Art. 31, Art. 32 i.V.m. Art. 33 lit. f VGG [SR 173.32] bzw. Art. 82, Art. 83 i.V.m. Art. 86 Abs. 1 lit. a BGG ; vgl. Urteil 2C_484/2010 vom 29. Juni 2012 E. 1.1, zur Publikation vorgesehen). Das angefochtene Urteil schliesst das Verfahren durch das Nichteintreten auf die Beschwerde ab und ist demnach ein Endentscheid ( Art. 90 BGG ). Gegenstand des vorliegenden Verfahrens bildet ausschliesslich die verfahrensrechtliche Frage, ob das Bundesverwaltungsgericht zu Recht nicht auf die Beschwerde eingetreten ist. Die Beschwerdeführerinnen sind diesbezüglich beschwerdebefugt ( Art. 89 Abs. 1 BGG ; Urteil 2C_642/2011 vom 20. Februar 2012 E. 1.2 mit Hinweisen, nicht publ. in: BGE 138 II 162 ; 131 II 497 E. 1 S. 500 [noch zum OG]). Die übrigen Sachurteilsvoraussetzungen geben zu keinen Bemerkungen Anlass, sodass auf die Beschwerde in öffentlich-rechtlichen Angelegenheiten einzutreten ist.</w:t>
      </w:r>
    </w:p>
    <w:p>
      <w:r>
        <w:rPr>
          <w:b/>
        </w:rPr>
        <w:t>E. 2.1</w:t>
      </w:r>
    </w:p>
    <w:p>
      <w:r>
        <w:t>Die Vorinstanz hat die Beschwerdebefugnis anhand von Art. 48 VwVG geprüft. Wo Wettbewerbsbeschränkungen strittig seien, könne eine Beschwerdebefugnis des Konkurrenten nur bejaht werden, wenn zusätzlich zur Konkurrenzsituation eine erhebliche Behinderung der wirtschaftlichen Position durch die wettbewerbsbeschränkende Massnahme hinzutrete. Aus der (Einstellungs-) Verfügung der WEKO ergebe sich, dass die Beschwerdeführerinnen nicht erheblich im Wettbewerb unter den Ticketleistungsanbietern behindert seien, auch wenn sie durch das Auftreten der Ticketcorner AG möglicherweise einen wirtschaftlichen Nachteil erleiden würden. Die durch die 50%-Klauseln eingeräumte privilegierte Stellung der Ticketcorner AG führe bei den Beschwerdeführerinnen nicht zu einem erheblichen Nachteil, der eine besondere, nahe Beziehung der Beschwerdeführerinnen zur Streitsache schaffen würde. Das Kartellrecht als solches vermittle die erforderliche Beziehungsnähe nicht, da es den freien Wettbewerb an sich, nicht aber die einzelnen Konkurrenten voreinander schütze. Die Beschwerdebefugnis sei daher zu verneinen.</w:t>
      </w:r>
    </w:p>
    <w:p>
      <w:r>
        <w:rPr>
          <w:b/>
        </w:rPr>
        <w:t>E. 2.2</w:t>
      </w:r>
    </w:p>
    <w:p>
      <w:r>
        <w:t>Die Beschwerdeführerinnen rügen eine bundesrechtswidrige Aberkennung der Beschwerdebefugnis. Dabei habe die Vorinstanz den Sachverhalt offensichtlich falsch festgestellt, wenn sie die erhebliche Behinderung im Wettbewerb mit der Begründung verneine, dass etliche Veranstalter mit zwei verschiedenen Ticketanbietern zusammenarbeiten würden. Die Beschwerdeführerinnen seien in ihrem durch das Kartellgesetz geschützten Anspruch auf Teilnahme am Wettbewerb beeinträchtigt. Eine besondere Nähe zum Streitgegenstand ergebe sich dadurch, dass dieser Anspruch der Beschwerdeführerinnen bzw. Konkurrentinnen durch wettbewerbsbeschränkende Praktiken verletzt werde. Entscheidend sei, dass die Beschwerdeführerinnen durch diese Praktiken vom Wettbewerb ausgeschlossen seien bzw. faktisch nicht in den Markt eintreten könnten. Zu Unrecht setze sich die Vorinstanz darüber hinweg, dass bereits die WEKO den Beschwerdeführerinnen Parteistellung zuerkannt habe. Zudem vermische die Vorinstanz (materielle) Kriterien der kartellrechtlichen Zulässigkeit mit den (formellen) Kriterien der Beschwerdebefugnis. Schliesslich habe die Vorinstanz verkannt, dass die Schlussfolgerungen der WEKO betreffend Marktabgrenzung und Markanteilen unzutreffend bzw. unvollständig seien. Bereits die WEKO habe eine falsche Eingrenzung der relevanten Märkte vorgenommen.</w:t>
      </w:r>
    </w:p>
    <w:p>
      <w:r>
        <w:rPr>
          <w:b/>
        </w:rPr>
        <w:t>E. 2.3</w:t>
      </w:r>
    </w:p>
    <w:p>
      <w:r>
        <w:t>Die Beschwerdegegnerinnen wenden ein, es gehe vorliegend allein darum, ob die Beschwerdeführerinnen eine deutlich spürbare Verschlechterung ihrer Wettbewerbsposition und damit einen deutlich spürbaren wirtschaftlichen Nachteil erleiden würden. Zu Recht habe die Vorinstanz dies verneint. Es gelinge den Beschwerdeführerinnen nicht, eine konkrete, deutlich spürbare Behinderung der wirtschaftlichen Position, d.h. einen kausalen Umsatzrückgang, nachzuweisen. Nicht entscheidend sei, ob die Beschwerdeführerinnen im Verfahren vor der WEKO als Parteien eingestuft worden seien, zumal das Sekretariat der WEKO diese Frage nur oberflächlich geprüft habe. Soweit die Beschwerdeführerinnen ihre privaten Interessen durchsetzen wollen, stehe ihnen der Zivilrechtsweg offen ( Art. 12 ff. KG ). Die weiteren von den Beschwerdeführerinnen erhobenen Sachverhalts- und materiell-rechtlichen Rügen seien für die Eintretensfrage nicht wesentlich.</w:t>
      </w:r>
    </w:p>
    <w:p>
      <w:r>
        <w:rPr>
          <w:b/>
        </w:rPr>
        <w:t>E. 3.1</w:t>
      </w:r>
    </w:p>
    <w:p>
      <w:r>
        <w:t>Auf die kartellverwaltungsrechtlichen Verfahren sind die Bestimmungen des Verwaltungsverfahrensgesetzes anwendbar, soweit das Kartellgesetz nicht davon abweicht ( Art. 39 KG ; BGE 137 II 199 E. 6.4 S. 218). Das Kartellgesetz enthält keine Bestimmung (mehr) zum Beschwerdeverfahren (vgl. Art. 44 aKG ) und regelt namentlich die Beschwerdebefugnis nicht ausdrücklich. Es gilt daher für das Verfahren vor der Vorinstanz grundsätzlich die allgemeine Ordnung des Art. 48 VwVG (vgl. Art. 37 VGG ; Botschaft vom 23. November 1994 zu einem Bundesgesetz über Kartelle und andere Wettbewerbsbeschränkungen [nachfolgend: Botschaft Kartellgesetz], BBl 1995 I 468, 617 Ziff. 256.6; VINCENT MARTENET, in: Commentaire romand, Droit de la concurrence, 2. Aufl., 2013, N. 132 zu Art. 39 KG ; PETER HÄNNI, in: Basler Kommentar, Kartellgesetz, 2010, N. 19 ff. zu Nach Art. 43 KG ; PAUL RICHLI, Kartellverwaltungsverfahren, in: Schweizerisches Immaterialgüter- und Wettbewerbsrecht, Band V/2, Kartellrecht, 2000, S. 417 ff., 506 ff.).</w:t>
      </w:r>
    </w:p>
    <w:p>
      <w:r>
        <w:rPr>
          <w:b/>
        </w:rPr>
        <w:t>E. 3.2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Nach Art. 48 Abs. 2 VwVG sind ferner jene Personen, Organisationen und Behörden zur Beschwerde berechtigt, denen ein anderes Bundesgesetz dieses Recht einräumt. Eine Konstellation im Sinne von Art. 48 Abs. 2 VwVG besteht vorliegend nicht. Die Beschwerdebefugnis beurteilt sich somit nach Art. 48 Abs. 1 VwVG , der Art. 89 Abs. 1 BGG entspricht und in Anlehnung an diesen auszulegen ist (Urteil 2C_119/2013 vom 9. Mai 2013 E. 2.2, zur Publikation vorgesehen; Urteile 2C_94/2012 vom 3. Juli 2012 E. 2.1; 9C_823/2011 vom 23. März 2012 E. 1.3).</w:t>
      </w:r>
    </w:p>
    <w:p>
      <w:r>
        <w:rPr>
          <w:b/>
        </w:rPr>
        <w:t>E. 3.3</w:t>
      </w:r>
    </w:p>
    <w:p>
      <w:r>
        <w:t>Nach ständiger Rechtsprechung des Bundesgerichts (Urteil 2C_485/2010 vom 3. Juli 2012 E. 1.2.4, nicht publ. in: BGE 138 I 378 , mit Hinweis auf BGE 127 II 264 E. 2c S. 269 ;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 MOOR/POLTIER, Droit administratif, Bd. 2, 3. Aufl., 2011, S. 740). Ferner ist ein Konkurrent beschwerdebefugt, soweit er geltend macht, andere Konkurrenten würden privilegiert behandelt. Hingegen kann das blosse allgemeine Interesse der Konkurrenten, dass die für alle geltenden Vorschriften gegenüber den anderen Wirtschaftsteilnehmern korrekt angewendet werden, keine Beschwerdebefugnis begründen ( BGE 125 I 7 E. 3g/bb S. 11 f.; 123 II 376 E. 4b/bb S. 380 f.), und zwar auch nicht zugunsten der Konkurrenten, welche befürchten, infolge einer angeblich rechtswidrigen Zulassung neuer Produkte einen Umsatzrückgang zu erleiden ( BGE 123 II 376 E. 5b S. 382 ff.; Urteil 2C_348/2011 vom 22. August 2011 E. 2.3). Konkurrenten sind sodann nicht beschwerdebefugt, wenn sie nicht eine Dritten zugestandene Begünstigung rügen, sondern im Gegenteil verhindern wollen, dass - ohne Vorliegen einer "Schutznorm" im genannten Sinne - Dritten das zugestanden wird, was ihnen auch zusteht ( BGE 131 I 198 E. 2.6 S. 203 ff.).</w:t>
      </w:r>
    </w:p>
    <w:p>
      <w:r>
        <w:rPr>
          <w:b/>
        </w:rPr>
        <w:t>E. 3.4</w:t>
      </w:r>
    </w:p>
    <w:p>
      <w:r>
        <w:t>Das Bundesgericht hatte bisher nicht zu entscheiden, ob die Kartellgesetzgebung die Konkurrenten untereinander in eine besondere Beziehungsnähe versetzt. Allerdings hat das Bundesgericht mit Bezug auf die Konkurrentenbeschwerde im Bereich des Versicherungswesens darauf hingewiesen, dass die Interessen der Konkurrenten an einem wirksamen Wettbewerb über das Wettbewerbsrecht und insbesondere die Kartellgesetzgebung geschützt werden ( BGE 138 I 378 E. 9.4 S. 401; Urteil 2C_94/2012 vom 3. Juli 2012 E. 2.10). Im Rahmen einer verfassungskonformen Auslegung des Art. 48 VwVG ist zu berücksichtigen, dass die Konkurrentenbeschwerde im Bereich der Kartellgesetzgebung dazu beiträgt, die wirtschaftliche Handlungsfreiheit der Konkurrenten (Art. 27 i.V.m. Art. 35 Abs. 3 BV ) und damit wirksamen Wettbewerb zu gewährleisten ( Art. 96 BV ). Während sich Konkurrenten gegen staatliche Wettbewerbsverzerrungen unter Anrufung des Grundsatzes der Gleichbehandlung der Konkurrenten zur Wehr setzen können (vgl. BGE 138 I 378 E. 6.1 S. 385 ; 136 I 1 E. 4.4 S. 16 f. mit Hinweisen), gewährleistet das Kartellgesetz den wirksa-men Wettbewerb zwischen Marktteilnehmern. Das spiegelt sich im Regelungszweck der Kartellgesetzgebung wider, die den Wettbewerb als Institution wie auch die Persönlichkeit der einzelnen Wettbewerbsteilnehmer schützt ( BGE 129 II 18 E. 5.2.1 S. 24, 497 E. 6.4.2 S. 538; Urteil 2C_484/2010 vom 29. Juni 2012 E. 10.1.2 und E. 10.4.2, zur Publikation vorgesehen). Spricht ansonsten das Prinzip des freien Wettbewerbs und seine verfassungsrechtliche Anerkennung gegen die besondere Beziehungsnähe unter den Konkurrenten, verhält es sich im Bereich des Wettbewerbsrechts gerade anders: Die Konkurrenten setzen sich - wenn auch in eigenem, "egoistischem" Interesse - für die Gewährleistung wirksamen Wettbewerbs ein.</w:t>
      </w:r>
    </w:p>
    <w:p>
      <w:r>
        <w:rPr>
          <w:b/>
        </w:rPr>
        <w:t>E. 3.5</w:t>
      </w:r>
    </w:p>
    <w:p>
      <w:r>
        <w:t>Diese rechtliche Ausgangslage bekräftigt das Vorliegen eines prozessrechtlichen Rechtsschutzinteresses, auf das es bei der Beschwerdebefugnis nach Art. 48 VwVG ankommt ( BGE 135 II 172 E. 2.1 S. 174 ; 133 I 185 E. 4.1 S. 192; 123 II 376 E. 4c S. 381 ; 121 I 267 E. 3c S. 270; vgl. FRITZ GYGI, Bundesverwaltungsrechtspflege, 2. Aufl., 1983, S. 152; MOSER/BEUSCH/KNEUBÜHLER, Prozessieren vor dem Bundesverwaltungsgericht, 2008, Rz. 2.70). Das Kartellgesetz als Ordnung zur Gewährleistung eines wirksamen Wettbewerbs versetzt die Konkurrenten in eine besondere, beachtenswerte, nahe Beziehung zueinander. Sie sind von einer unzulässigen Wettbewerbsbeschränkung direkt und unmittelbar betroffen und haben an deren Beseitigung ein praktisches und schutzwürdiges Interesse. Nicht abschliessend zu beantworten ist an dieser Stelle, inwiefern dies auch für andere Marktteilnehmer (insb. Abnehmer und Lieferanten) gilt, da die Beschwerdeführerinnen unstrittig in einem aktuellen Konkurrenzverhältnis zur Ticketcorner AG stehen.</w:t>
      </w:r>
    </w:p>
    <w:p>
      <w:r>
        <w:rPr>
          <w:b/>
        </w:rPr>
        <w:t>E. 4.1</w:t>
      </w:r>
    </w:p>
    <w:p>
      <w:r>
        <w:t>Bei der Umschreibung der Beschwerdebefugnis nach Art. 48 VwVG sind die Wechselwirkungen zwischen dem Verwaltungsverfahrensgesetz und den kartellrechtlichen Verfahrensvorschriften zu berücksichtigen: Die allgemeinen Regeln des VwVG sind kartellrechtskonform und die Sonderregeln des Kartellgesetzes VwVG-konform auszulegen (vgl. Art. 4 VwVG und Art. 39 KG ; STEFAN BILGER, in: Basler Kommentar, Kartellgesetz, 2010, N. 16 zu Vor Art. 39-44 KG ; vgl. BGE 135 II 172 E. 2.3.2 S. 178, 60 E. 3.1.3 S. 69; Urteil 2C_119/2013 vom 9. Mai 2013 E. 2.3, zur Publikation vorgesehen). Dabei sind nach der Systematik des Verwaltungsverfahrensgesetzes Parteistellung ( Art. 6 VwVG ) und Beschwerdebefugnis ( Art. 48 VwVG ) aufeinander abgestimmt ( BGE 131 II 587 E. 5.2 S. 592; Urteil 2C_119/2013 vom 9. Mai 2013 E. 2.2, zur Publikation vorgesehen). Art. 6 VwVG umschreibt den Parteibegriff offen und knüpft über den Verweis auf die Beschwerdebefugnis nach Art. 48 VwVG an das Rechtsschutzinteresse an. Zu den Parteien zählen damit neben materiellen Verfügungsadressaten auch Dritte, die in einem besonders engen, spezifischen Verhältnis zum Verfügungsgegenstand stehen und deren Situation durch den Ausgang des Verfahrens in relevanter Weise beeinflusst werden kann (Urteil 2C_119/2013 vom 9. Mai 2013 E. 2.2, zur Publikation vorgesehen; Urteil 2C_762/2010 vom 2. Februar 2011 E. 4.1).</w:t>
      </w:r>
    </w:p>
    <w:p>
      <w:r>
        <w:rPr>
          <w:b/>
        </w:rPr>
        <w:t>E. 4.2</w:t>
      </w:r>
    </w:p>
    <w:p>
      <w:r>
        <w:t>Daraus folgt, dass über den Kreis der beschwerdebefugten Konkurrenten ( Art. 48 VwVG ) mittelbar auch die Parteien ( Art. 6 VwVG ) im Kartellverwaltungsverfahren umschrieben werden. Es bestehen damit Berührungspunkte zu Art. 43 KG , der die Beteiligung Dritter am kartellrechtlichen Untersuchungsverfahren ( Art. 27 ff. KG ) ausdrücklich regelt. Am Verfahren können sich nach Art. 43 Abs. 1 lit. a KG unter anderem Personen beteiligen, die aufgrund der Wettbewerbsbeschränkung in der Aufnahme oder in der Ausübung des Wettbewerbs behindert sind. Dazu zählen die aktuellen Konkurrenten, die sich auf dem Markt bewegen, auf dem sich die Wettbewerbsbeschränkung auswirkt ( BILGER, a.a.O., N. 12 zu Art. 43 KG ; PHILIPPE BORENS, Die Rechtsstellung Dritter im Kartellverwaltungsverfahren der Europäischen Gemeinschaft und der Schweiz, 2000, S. 213). Die Beteiligung Dritter liegt dabei nicht nur in deren Interesse, sondern trägt auch Wesentliches zur Klärung des rechtserheblichen Sachverhalts bei und erhöht damit die Qualität der Entscheide. Daneben dient die Ordnung des Art. 43 KG einem effizienten Verfahren. Dies zeigt sich besonders in der abschliessenden Umschreibung des Kreises der Beteiligungsberechtigten, dem Anmeldeerfordernis für die Beteiligung ( Art. 43 Abs. 1 KG i.V.m. Art. 28 Abs. 2 KG ) sowie der Möglichkeit, eine gemeinsame Vertretung zu verlangen und die Beteiligungsrechte auf eine Anhörung zu beschränken ( Art. 43 Abs. 2 KG ). Art. 43 KG stimmt demnach das Interesse der unter Umständen zahlreichen Dritten an der Mitwirkung auf die Erfordernisse eines rechtmässigen und effizienten Verfahrens ab (vgl. BORENS, a.a.O., S. 107 ff.; VON BÜREN/MARBACH/DUCREY, Immaterialgüter- und Wettbewerbsrecht, 3. Aufl., 2008, Rz. 1707 ff.; RICHLI, a.a.O., S. 495 f.).</w:t>
      </w:r>
    </w:p>
    <w:p>
      <w:r>
        <w:rPr>
          <w:b/>
        </w:rPr>
        <w:t>E. 4.3</w:t>
      </w:r>
    </w:p>
    <w:p>
      <w:r>
        <w:t>Hingegen äussert sich Art. 43 KG nach zutreffender Auffassung nicht dazu, ob den nach Art. 43 Abs. 1 KG beteiligungsberechtigten Dritten auch Parteistellung im Untersuchungsverfahren nach Art. 27 ff. KG zukommt. Vielmehr richtet sich diese Verfahrensfrage nach Art. 6 VwVG . So setzt Art. 43 KG die Unterscheidung zwischen beteiligungsberechtigten Dritten und Parteistellung voraus, indem Art. 43 Abs. 2 KG die Beschränkung der Beteiligung auf eine Anhörung nur zulässt, soweit Dritten keine Parteistellung zukommt. Diese Unterscheidung geht denn auch ausdrücklich aus den Materialien hervor (Botschaft Kartellgesetz, BBl 1995 I 468, 616 Ziff. 256.5) und hat sich in der jüngeren Lehre durchgesetzt (z.B. BILGER, a.a.O., N. 21 ff. zu Art. 43 KG ; BORENS, a.a.O., S. 215 ff.; CHRISTIAN BOVET, Les tiers devant les Commissions fédérales des banques, de la concurrence et de la communication, in: Les tiers dans la procédure administrative, 2004, S. 145 ff., 156; BENOÎT MERKT, in: Commentaire romand, Droit de la concurrence, 2. Aufl., 2013, N. 8 ff. und N. 19 zu Art. 43 KG ; RICHLI, a.a.O., S. 495 ff.; anders JÜRG BORER, Wettbewerbsrecht I, 3. Aufl., 2011, N. 6 zu Art. 43 KG ).</w:t>
      </w:r>
    </w:p>
    <w:p>
      <w:r>
        <w:rPr>
          <w:b/>
        </w:rPr>
        <w:t>E. 4.4</w:t>
      </w:r>
    </w:p>
    <w:p>
      <w:r>
        <w:t>Die in Art. 43 KG angelegte Unterscheidung zwischen beteiligungsberechtigten Dritten mit und ohne Parteistellung hat bei der Auslegung der VwVG-Normen, namentlich von Art. 6 und 48 VwVG , einzufliessen. Der Kreis der nach Art. 43 Abs. 1 KG beteiligungsberechtigten Dritten kann - je nach den Umständen - einen beachtlichen Umfang annehmen. Wollte man ihnen ohne Weiteres ein Rechtsschutzinteresse nach Art. 6 und 48 VwVG zusprechen, würde die über Art. 43 KG angestrebte Abstimmung der Beteiligungsrechte auf die Bedürfnisse eines raschen und korrekten Verfahrens zu einem guten Stück unterlaufen. Wird dagegen zwischen beteiligungsberechtigten Dritten mit und ohne Parteistellung unterschieden, kann der Kreis der beteiligungsberechtigten Dritten nach Art. 43 Abs. 1 KG relativ weit gefasst werden ( BORENS, a.a.O., S. 213; RICHLI, a.a.O., S. 498). Das trägt zur Rechtsverwirklichung bei, ohne ein effizientes Verfahren auch bei einer Vielzahl von Beteiligten zu verunmöglichen (vgl. Art. 43 Abs. 2 KG ) und das Beschwerderecht in Richtung einer unerwünschten Popularbeschwerde zu öffnen. Hinzu kommt, dass das kartellrechtliche Verwaltungsverfahren primär der Durchsetzung öffentlicher Interessen dient, während für die Durchsetzung vorrangig privater Interessen der Zivilrechtsweg nach Art. 12 ff. KG offensteht ( BGE 131 II 497 E. 5.5 S. 514; 130 II 521 E. 2.9 S. 529, 149 E. 2.4 S. 156; Urteil 2A.161/2006 vom 12. Oktober 2006 E. 3.2). Angesichts dieser gesetzlich vorgesehenen Gabelung des Rechtsschutzes ist zu vermeiden, dass das Verwaltungsverfahren zu stark auf private Interessen ausgerichtet wird.</w:t>
      </w:r>
    </w:p>
    <w:p>
      <w:r>
        <w:rPr>
          <w:b/>
        </w:rPr>
        <w:t>E. 4.5</w:t>
      </w:r>
    </w:p>
    <w:p>
      <w:r>
        <w:t>Aus den genannten Gründen ist einem Konkurrenten ungeachtet seiner Beteiligung am Untersuchungsverfahren nach Art. 43 Abs. 1 KG nicht ohne Weiteres die Parteistellung ( Art. 6 VwVG ) und die Beschwerdebefugnis ( Art. 48 VwVG ) einzuräumen, sondern nur dann, wenn er einen deutlich spürbaren wirtschaftlichen Nachteil erleidet (im Ergebnis ebenso STEFAN BILGER, Das Verwaltungsverfahren zur Untersuchung von Wettbewerbsbeschränkungen [nachfolgend: Verwaltungsverfahren], 2002, S. 214 ff., 224 ff.; BORENS, a.a.O., S. 209 f.; jeweils mit Hinweis auf einen Entscheid der Rekurskommission für Wettbewerbsfragen [REKO/WEF] vom 25. April 1997, publ. in: RPW 2/1997 S. 243 ff.). Ein deutlich spürbarer wirtschaftlicher Nachteil setzt eine konkrete, individuelle Betroffenheit voraus und liegt vor, wenn sich die beanstandete Abrede oder Verhaltensweise in wesentlichem Ausmass nachteilig auf den Konkurrenten auswirkt, namentlich indem er eine Umsatzeinbusse erleidet. Eine besondere Schwere ist dabei nicht vorausgesetzt. Hingegen hat der beschwerdeführende Konkurrent im Rahmen seiner Mitwirkungs- und Begründungspflicht darzulegen, dass er einen deutlich spürbaren wirtschaftlichen Nachteil erleidet, soweit dies nicht klar aus den Akten ersichtlich ist ( Art. 13 VwVG und Art. 52 Abs. 1 VwVG ; BGE 120 Ib 431 E. 1 S. 433 mit Hinweis).</w:t>
      </w:r>
    </w:p>
    <w:p>
      <w:r>
        <w:rPr>
          <w:b/>
        </w:rPr>
        <w:t>E. 4.6</w:t>
      </w:r>
    </w:p>
    <w:p>
      <w:r>
        <w:t>Über das Vorliegen eines wirtschaftlichen Nachteils im umschriebenen Sinne hinaus kann jedoch entgegen der Vorinstanz keine weitere Schranke für die Beschwerdebefugnis gesetzt werden. So kann sie nicht erst dann bejaht werden, wenn der wirksame Wettbewerb nicht mehr funktioniert (so aber BILGER, Verwaltungsverfahren, S. 215; RICHLI, a.a.O., S. 509). Damit würde die materiell-rechtliche Beurteilung auf der Stufe der Beschwerdebefugnis vorweggenommen, mit der Folge, dass der Rechtsschutz von Konkurrenten weitgehend ausgeschlossen wäre, sofern die WEKO eine Einstellungsverfügung getroffen und damit das Vorhandensein von wirksamem Wettbewerb bejaht hat. Einen solchen Ausschluss der Beschwerdebefugnis und damit der gerichtlichen Kontrolle der Tätigkeit der Wettbewerbsbehörden hat der Gesetzgeber jedoch bei der Untersuchung von Wettbewerbsbeschränkungen - im Unterschied zur Prüfung von Unternehmenszusammenschlüssen ( Art. 43 Abs. 4 KG ; BGE 131 II 497 E. 5 S. 508 ff.) - gerade nicht vorgesehen. Es muss daher für die Beschwerdebefugnis genügen, dass sich die Abrede oder Verhaltensweise in wesentlichem Ausmass nachteilig auf den Konkurrenten auswirkt.</w:t>
      </w:r>
    </w:p>
    <w:p>
      <w:r>
        <w:rPr>
          <w:b/>
        </w:rPr>
        <w:t>E. 5.1</w:t>
      </w:r>
    </w:p>
    <w:p>
      <w:r>
        <w:t>Vorliegend hat die Vorinstanz ausgeführt "dass trotz der 50%-AGB-Klausel etliche Veranstalter - z.B. aus Gründen der besseren Verfügbarkeit von Tickets im Ausland oder aus örtlichen Gründen - mit zwei verschiedenen Ticketanbietern zusammenarbeiten". Zu Recht wenden die Beschwerdeführerinnen ein, dass diese Ausführungen mit Bezug auf die Veranstaltungen im Hallenstadion klar aktenwidrig sind. Die WEKO hat in ihrer Verfügung festgestellt, "dass sich die 50%-AGB-Klausel jedenfalls in den allermeisten Fällen wie eine 100%-ige Klausel auswirkt. Die Veranstalter hätten zwar rechtlich die Möglichkeit, mehrere Ticketvertriebsunternehmen mit dem Ticketvertrieb zu betrauen, faktisch sehen sie jedoch von einer Nutzung dieser Möglichkeit regelmässig ab." Inwiefern von dieser Sachverhaltsfeststellung abzuweichen ist, begründet die Vorinstanz nicht, sondern verweist gerade auf die Ausführungen der WEKO. Es ist daher auf die Erkenntnisse des Untersuchungsverfahrens abzustellen ( Art. 105 Abs. 2 BGG ).</w:t>
      </w:r>
    </w:p>
    <w:p>
      <w:r>
        <w:rPr>
          <w:b/>
        </w:rPr>
        <w:t>E. 5.2</w:t>
      </w:r>
    </w:p>
    <w:p>
      <w:r>
        <w:t>Die Beschwerdeführerinnen 1 und 3 haben bereits im Verfahren vor der WEKO anhand konkreter Veranstaltungen dargelegt, dass sie aufgrund der beanstandeten Abrede bzw. Verhaltensweise (50%-Klauseln) deutlich spürbare wirtschaftliche Nachteile in Form von Umsatzeinbussen erleiden. Unter Verweis darauf hat die WEKO den Beschwerdeführerinnen 1 und 3 Parteistellung zuerkannt. Damit ist auch die Beschwerdebefugnis der Beschwerdeführerinnen 1 und 3 aufgrund der Akten erstellt und zu bejahen. Dagegen hat die Beschwerdeführerin 2 zu keinem Zeitpunkt ihre Beschwerdebefugnis näher dargelegt. Die WEKO bejahte die Parteistellung im Sinne einer "dynamischen Betrachtungsweise", da die 50%-AGB-Klausel verhindere, dass die Beschwerdeführerin 2 überhaupt erst Kunden gewinnen könne, die ihr den Ticketvertrieb für im Hallenstadion stattfindende Anlässe übertragen würden. Darin liegt jedoch nichts anderes als ein Hinweis auf die allgemeine Wirkung der 50%-Klauseln, ohne dass ersichtlich ist, ob die Beschwerdeführerin 2 einen konkreten, individuellen wirtschaftlichen Nachteil erleidet. Dies ist aufgrund der Akten nicht klar erstellt und wird von der Beschwerdeführerin 2 nicht dargelegt. Namentlich konnte sie den erlittenen wirtschaftlichen Nachteil nicht beziffern. Weder vor der Vorinstanz noch im bundesgerichtlichen Verfahren hat die Beschwerdeführerin 2 hierzu Näheres ausgeführt. Die Vorinstanz hat daher die Beschwerdebefugnis der Beschwerdeführerin 2 im Ergebnis zu Recht verneint.</w:t>
      </w:r>
    </w:p>
    <w:p>
      <w:r>
        <w:rPr>
          <w:b/>
        </w:rPr>
        <w:t>E. 6.1</w:t>
      </w:r>
    </w:p>
    <w:p>
      <w:r>
        <w:t>Aufgrund des Ausgeführten ist die Beschwerdebefugnis der Beschwerdeführerinnen 1 und 3 nach Art. 48 VwVG zu bejahen, während die Vorinstanz zu Recht nicht auf die Beschwerde der Beschwerdeführerin 2 eingetreten ist. Infolgedessen wird die Beschwerde teilweise gutgeheissen und der angefochtene Entscheid insofern aufgehoben und die Sache zu neuer Entscheidung an die Vorinstanz zurückgewiesen, als den Beschwerdeführerinnen 1 und 3 die Beschwerdebefugnis abgesprochen worden ist. Das Bundesverwaltungsgericht hat dem Ausgang des vorliegenden Verfahrens entsprechend die vorinstanzliche Kosten- und Entschädigungsfrage neu zu regeln (vgl. Art. 107 Abs. 2 i.V.m. Art. 67 und 68 Abs. 5 BGG ).</w:t>
      </w:r>
    </w:p>
    <w:p>
      <w:r>
        <w:rPr>
          <w:b/>
        </w:rPr>
        <w:t>E. 6.2</w:t>
      </w:r>
    </w:p>
    <w:p>
      <w:r>
        <w:t>Bei diesem Ausgang des Verfahrens sind die Gerichtskosten des bundesgerichtlichen Verfahrens anteilsmässig den unterliegenden Beschwerdegegnerinnen und der Beschwerdeführerin 2 aufzuerlegen ( Art. 66 Abs. 1 und 5 BGG ). Die Beschwerdeführerin 2 hat den Beschwerdegegnerinnen einen angemessenen Anteil der Parteikosten zu ersetzen, während die Beschwerdegegnerinnen die obsiegenden Beschwerdeführerinnen 1 und 3 angemessen zu entschädigen haben (Art. 68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