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2C_1046/2016 vom 17. November 2016</w:t>
      </w:r>
    </w:p>
    <w:p>
      <w:r>
        <w:t>Bundesgericht, 2016-11-17, FR</w:t>
      </w:r>
    </w:p>
    <w:p>
      <w:r>
        <w:rPr>
          <w:b/>
        </w:rPr>
        <w:t xml:space="preserve">Quelle: </w:t>
      </w:r>
      <w:r>
        <w:t>https://mcp.opencaselaw.ch/entscheid/bger_2C_1046_2016</w:t>
      </w:r>
    </w:p>
    <w:p>
      <w:r>
        <w:t>FR: TF 2C_1046/2016 du 17 novembre 2016</w:t>
      </w:r>
    </w:p>
    <w:p>
      <w:r>
        <w:t>IT: TF 2C_1046/2016 del 17 novembre 2016</w:t>
      </w:r>
    </w:p>
    <w:p>
      <w:pPr>
        <w:pStyle w:val="Heading2"/>
      </w:pPr>
      <w:r>
        <w:t>Erwägungen</w:t>
      </w:r>
    </w:p>
    <w:p>
      <w:r>
        <w:rPr>
          <w:b/>
        </w:rPr>
        <w:t>E. 1</w:t>
      </w:r>
    </w:p>
    <w:p>
      <w:r>
        <w:t>Par arrêt rendu le 7 novembre 2016, le Juge unique du Tribunal cantonal du canton du Valais a approuvé la mise en détention de X.________, ressortissant gambien, le 3 novembre 2016 par le Service de la population et des migrations du canton du Valais pour une durée de sept semaines au plus en vue de renvoi de Suisse et de réadmission en Espagne conformément aux accords de Dublin. Son retour en Suisse après avoir été renvoyé une nouvelle fois en Espagne le 5 avril 2016 malgré l'interdiction d'entrée laissait entendre qu'il n'exécuterait pas la décision de renvoi.</w:t>
      </w:r>
    </w:p>
    <w:p>
      <w:r>
        <w:rPr>
          <w:b/>
        </w:rPr>
        <w:t>E. 2</w:t>
      </w:r>
    </w:p>
    <w:p>
      <w:r>
        <w:t>Par courrier du 14 novembre 2016, X.________ demande au moins implicitement, d'annuler l'arrêt rendu le 18 février 2016 par le Tribunal cantonal et d'obtenir sa libération et un statut de réfugié en Espagne.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courrier rédigé par l'intéressé à l'attention du Tribunal fédéral n'expose pas de manière suffisante eu égard aux exigences de l' art. 42 al. 2 LTF en quoi l'arrêt du 7 novembre 2016 et les motifs qu'il retient à l'appui de la détention violent le droit. Dans la mesure où le recourant s'en prend à la décision de renvoi, ses griefs ne peuvent être examinés parce que la décision de renvoi ne fait pas l'objet du litige.</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