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1045/2013 vom 2. Juni 2014</w:t>
      </w:r>
    </w:p>
    <w:p>
      <w:r>
        <w:t>Bundesgericht, 2014-06-02, DE</w:t>
      </w:r>
    </w:p>
    <w:p>
      <w:r>
        <w:rPr>
          <w:b/>
        </w:rPr>
        <w:t xml:space="preserve">Quelle: </w:t>
      </w:r>
      <w:r>
        <w:t>https://mcp.opencaselaw.ch/entscheid/bger_2C_1045_2013</w:t>
      </w:r>
    </w:p>
    <w:p>
      <w:r>
        <w:t>FR: TF 2C 1045/2013 du 2 juin 2014</w:t>
      </w:r>
    </w:p>
    <w:p>
      <w:r>
        <w:t>IT: TF 2C 1045/2013 del 2 giugno 2014</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und 2 BGG ) in einer Angelegenheit des öffentlichen Rechts ( Art. 82 lit. a BGG i.V.m. Art. 73 des Bundesgesetzes vom 14. Dezember 1990 über die Harmonisierung der direkten Steuern der Kantone und Gemeinden [StHG, SR 642.14]). Der Beschwerdeführer ist durch den angefochtenen Entscheid besonders berührt und hat ein schutzwürdiges Interesse an dessen Aufhebung oder Änderung ( Art. 89 Abs. 1 BGG ).</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 zum Ganzen BGE 135 III 397 E. 1.4 S. 400; 133 II 249 E. 1.4.1 f. S. 254 mit Hinweisen).</w:t>
      </w:r>
    </w:p>
    <w:p>
      <w:r>
        <w:rPr>
          <w:b/>
        </w:rPr>
        <w:t>E. 1.3</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 Für diese Prüfung gilt die qualifizierte Rügepflicht gemäss Art. 106 Abs. 2 BGG .</w:t>
      </w:r>
    </w:p>
    <w:p>
      <w:r>
        <w:rPr>
          <w:b/>
        </w:rPr>
        <w:t>E. 2.1</w:t>
      </w:r>
    </w:p>
    <w:p>
      <w:r>
        <w:t>Streitig ist zwischen dem Beschwerdeführer und der kantonalen Steuerverwaltung, ob die Grundstückgewinnsteuer veranlagt werden durfte, obschon die letzte Ratenzahlung noch ausstehend ist und der Käufer zwischenzeitlich am 11. Juli 2013 beim Bezirksgericht Surselva Klage auf Feststellung der Ungültigkeit, eventuell Nichtigkeit des Kaufvertrages eingereicht hatte. Es geht mithin um Fragen der Veranlagung und des Bezugs der Grundstückgewinnsteuer.</w:t>
      </w:r>
    </w:p>
    <w:p>
      <w:r>
        <w:rPr>
          <w:b/>
        </w:rPr>
        <w:t>E. 2.2</w:t>
      </w:r>
    </w:p>
    <w:p>
      <w:r>
        <w:t>Das Steuerharmonisierungsgesetz regelt die Grundstückgewinnsteuer in seinem Artikel 12. Gemäss dessen Absatz 1 unterliegen der Grundstückgewinnsteuer Gewinne, die sich bei der Veräusserung eines Grundstücks des Privatvermögens oder eines land- und forstwirtschaftlichen Grundstückes sowie von Anteilen daran ergeben. Art. 12 Abs. 4 StHG berechtigt die Kantone, auch Gewinne aus der Veräusserung von Grundstücken des Geschäftsvermögens der Grundstückgewinnsteuer zu unterstellen. Art. 12 Abs. 2 StHG enthält die steuerpflichtigen Veräusserungen und die ihnen gleichgestellten Tatbestände. Art. 12 Abs. 3 regelt den Steueraufschub bei Eigentumswechsel infolge Erbgangs, unter Ehegatten, infolge Landumlegungen und Ersatzbeschaffungen. Schliesslich schreibt Art. 12 Abs. 5 StHG den Kantonen vor, kurzfristig realisierte Grundstückgewinne stärker zu besteuern. Weitere Vorschriften zur Grundstückgewinnsteuer enthält das Steuerharmonisierungsgesetz nicht. Das Steuerharmonisierungsgesetz ist ein Rahmengesetz, das namentlich die Grundstückgewinnsteuer nur in den Grundzügen festlegt ( BGE 134 II 124 E. 3.2 S. 132; s. auch BERNHARD ZWAHLEN, in: Kommentar zum Schweizerischen Steuerrecht I/1, 2. Aufl. 2002, N. 2 zu Art. 12 StHG ). Insbesondere regelt das Steuerharmonisierungsgesetz das Veranlagungs- und Bezugsverfahren nicht. Es ist daher Sache des Kantons, die massgebenden Vorschriften zu erlassen. Deren Auslegung und Anwendung überprüft das Bundesgericht nur unter verfassungsrechtlichen Aspekten, namentlich unter dem Gesichtswinkel des Willkürverbots ( Art. 9 BV ). Eine Verfassungsrüge ist entsprechend zu begründen ( Art. 106 Abs. 2 BGG ).</w:t>
      </w:r>
    </w:p>
    <w:p>
      <w:r>
        <w:rPr>
          <w:b/>
        </w:rPr>
        <w:t>E. 2.3</w:t>
      </w:r>
    </w:p>
    <w:p>
      <w:r>
        <w:t>Eine solche Verfassungsrüge erhebt der Beschwerdeführer vorliegend nicht. Er macht weder einen unrichtige oder unvollständige Feststellung des Sachverhalts noch eine willkürliche Anwendung von (kantonalen) Rechtsvorschriften geltend. Er beanstandet, dass die kantonale Instanz die Grundstückgewinnsteuerveranlagung bestätigt habe, obschon die letzte Teilzahlung noch ausstehend sei und der Käufer am 11. Juli 2013 beim Bezirksgericht Surselva Klage auf Feststellung der Ungültigkeit oder Nichtigkeit des Kaufvertrages eingereicht habe. Diesbezüglich hat das Gericht erwogen, dass der Beschwerdeführer den Grundstückgewinn realisiert habe. In der Tat hat der Beschwerdeführer über die Kaufpreisforderung verfügt, indem er dem Käufer für die letzte Ratenzahlung ein grundpfandrechtlich sichergestelltes und verzinsliches Darlehen gewährt hat. Das Verwaltungsgericht hat aber die Revision vorbehalten für den Fall, dass der Kaufvertrag rückwirkend (ex tunc) aufgehoben oder abgeändert werden sollte. Inwiefern das Gericht in Willkür verfallen oder in anderer Weise Verfassungsrechte verletzt haben soll, ist bei dieser Sachlage unerfindlich und wird in der Beschwerde nicht dargelegt. Die Beschwerde kann mangels einer verfassungsbezogenen Begründung nicht behandelt werden. Es ist darauf nicht einzutreten.</w:t>
      </w:r>
    </w:p>
    <w:p>
      <w:r>
        <w:rPr>
          <w:b/>
        </w:rPr>
        <w:t>E. 3</w:t>
      </w:r>
    </w:p>
    <w:p>
      <w:r>
        <w:t>Als unterliegende Partei ist der Beschwerdeführer kostenpflichtig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