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1042/2019 vom 20. Dezember 2019</w:t>
      </w:r>
    </w:p>
    <w:p>
      <w:r>
        <w:t>Bundesgericht, 2019-12-20, DE</w:t>
      </w:r>
    </w:p>
    <w:p>
      <w:r>
        <w:rPr>
          <w:b/>
        </w:rPr>
        <w:t xml:space="preserve">Quelle: </w:t>
      </w:r>
      <w:r>
        <w:t>https://mcp.opencaselaw.ch/entscheid/bger_2C_1042_2019</w:t>
      </w:r>
    </w:p>
    <w:p>
      <w:r>
        <w:t>FR: TF 2C 1042/2019 du 20 décembre 2019</w:t>
      </w:r>
    </w:p>
    <w:p>
      <w:r>
        <w:t>IT: TF 2C 1042/2019 del 20 dicembre 2019</w:t>
      </w:r>
    </w:p>
    <w:p>
      <w:pPr>
        <w:pStyle w:val="Heading2"/>
      </w:pPr>
      <w:r>
        <w:t>Regeste</w:t>
      </w:r>
    </w:p>
    <w:p>
      <w:r>
        <w:t>Gesuch um Kostengutsprache | Unterrichtswesen und Berufsausbildung</w:t>
      </w:r>
    </w:p>
    <w:p>
      <w:pPr>
        <w:pStyle w:val="Heading2"/>
      </w:pPr>
      <w:r>
        <w:t>Erwägungen</w:t>
      </w:r>
    </w:p>
    <w:p>
      <w:r>
        <w:rPr>
          <w:b/>
        </w:rPr>
        <w:t>E. 1</w:t>
      </w:r>
    </w:p>
    <w:p>
      <w:r>
        <w:t>Mit Verfügung vom 8. April 2019 verweigerte das Amt für Berufsbildung, Mittel- und Hochschulen Beiträge des Kantons Solothurn an B.A.________ und A.A.________ für die Ausbildung ihres Sohnes C.A.________ an der Schule für Gestaltung Bern und Biel. Die Beschwerdekommission der Berufsbildung wies die von B.A.________ und A.A.________ gegen die Verfügung vom 8. April 2019 erhobene Beschwerde mit Verfügung vom 22. August 2019 ab. Mit Urteil vom 26. November 2019 wies das Verwaltungsgericht des Kantons Solothurn die von B.A.________ und A.A.________ gegen die Verfügung vom 22. August 2019 geführte Beschwerde ebenfalls ab. B.A.________ und A.A.________ gelangen mit Eingabe vom 10. Dezember 2019 an das Bundesgericht. Am 19. Dezember 2019 reichen sie aufforderungsgemäss eine verbesserte Eingabe ein.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Die Vorinstanz hat im angefochtenen Urteil erwogen, gemäss Art. 4 der Interkantonalen Vereinbarung vom 22. Juni 2006 über die Beiträge an die Ausbildungskosten in der beruflichen Grundbildung (Berufsfachschulvereinbarung, BFSV) sei bei Lernenden von Vollzeitschulen und von Berufsmaturitätsschulen nach der Lehre der Wohnsitzkanton zahlungspflichtig, sofern er den Besuch einer ausserkantonalen Ausbildungsstätte bewillige; die Bewilligung habe mit der Anmeldung vorzuliegen. Im Kanton Solothurn würde durchaus ein Ausbildungsangebot für die Erlernung des Berufs als Grafiker bestehen, weshalb auch unter Berücksichtigung einer Bevorzugung der Schule für Gestaltung Bern und Biel kein Anspruch auf eine Kostenübernahme des Schulgeldes durch den Kanton Solothurn abgeleitet werden könne. Die Eingabe vom 10. Dezember 2019, aufgegeben am 11. Dezember 2019, enthält nicht ansatzweise eine Begründung dafür, aus welchen Gründen die Vorinstanz im angefochtenen Urteil Recht verletzt haben sollte. Der aufforderungsgemäss als verbesserte Eingabe während noch laufender Rechtsmittelfrist eingereichten Rechtsschrift, aufgegeben am 19. Dezember 2019, lässt sich entnehmen, die Vorinstanz habe im angefochtenen Urteil nicht zum bestehenden Konkordat zwischen den Kantonen Bern und Solothurn Stellung genommen, was offensichtlich hinsichtlich Art. 4 BFSV, auf welchen sich die Beschwerdeführer im vorinstanzlichen Verfahren berufen haben, nicht zutrifft. Der Beschwerde fehlt es offensichtlich an einer im Sinne von Art. 42 BGG hinreichenden Begründung, weshalb darauf im vereinfachten Verfahren nach Art. 108 BGG mit Entscheid des Abteilungspräsidenten als Einzelrichter nicht einzutreten ist.</w:t>
      </w:r>
    </w:p>
    <w:p>
      <w:r>
        <w:rPr>
          <w:b/>
        </w:rPr>
        <w:t>E. 3</w:t>
      </w:r>
    </w:p>
    <w:p>
      <w:r>
        <w:t>Die Beschwerdeführer tragen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