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2C_1040/2013 vom 7. November 2013</w:t>
      </w:r>
    </w:p>
    <w:p>
      <w:r>
        <w:t>Bundesgericht, 2013-11-07, FR</w:t>
      </w:r>
    </w:p>
    <w:p>
      <w:r>
        <w:rPr>
          <w:b/>
        </w:rPr>
        <w:t xml:space="preserve">Quelle: </w:t>
      </w:r>
      <w:r>
        <w:t>https://mcp.opencaselaw.ch/entscheid/bger_2C_1040_2013</w:t>
      </w:r>
    </w:p>
    <w:p>
      <w:r>
        <w:t>FR: TF 2C_1040/2013 du 7 novembre 2013</w:t>
      </w:r>
    </w:p>
    <w:p>
      <w:r>
        <w:t>IT: TF 2C_1040/2013 del 7 novembre 2013</w:t>
      </w:r>
    </w:p>
    <w:p>
      <w:pPr>
        <w:pStyle w:val="Heading2"/>
      </w:pPr>
      <w:r>
        <w:t>Erwägungen</w:t>
      </w:r>
    </w:p>
    <w:p>
      <w:r>
        <w:rPr>
          <w:b/>
        </w:rPr>
        <w:t>E. 1</w:t>
      </w:r>
    </w:p>
    <w:p>
      <w:r>
        <w:t>Par arrêt du 8 octobre 2013, le Tribunal cantonal du canton de Vaud a rejeté le recours que X.________, ressortissant portugais, avait déposé contre la décision du Service de la population du canton de Vaud du 31 janvier 2013 refusant de lui renouveler son autorisation de séjour respectivement de transformer celle-ci en autorisation d'établis-sement au motif qu'il n'avait plus d'emploi depuis 2009, vivait avec l'aide de l'assistance sociale et n'avait aucun lien familial en Suisse qui justifierait la délivrance d'une autorisation de séjour.</w:t>
      </w:r>
    </w:p>
    <w:p>
      <w:r>
        <w:rPr>
          <w:b/>
        </w:rPr>
        <w:t>E. 2</w:t>
      </w:r>
    </w:p>
    <w:p>
      <w:r>
        <w:t>Par courrier du 5 novembre 2013, X.________ demande au Tribunal fédéral de renouveler son permis de séjour au motif qu'il a obtenu un contrat de travail en date du 4 novembre 2013 joint à son acte de recours. Il demande l'effet suspensif.</w:t>
      </w:r>
    </w:p>
    <w:p>
      <w:r>
        <w:rPr>
          <w:b/>
        </w:rPr>
        <w:t>E. 3</w:t>
      </w:r>
    </w:p>
    <w:p>
      <w:r>
        <w:t>D'après l' art. 99 LTF , aucun fait nouveau ni preuve nouvelle ne peut être présenté à moins de résulter de la décision de l'autorité précédente. Le contrat de travail produit par le recourant date du 4 novembre 2013 postérieur à l'arrêt attaqué rendu le 8 octobre 2013. Ce fait est par conséquent irrecevable.</w:t>
      </w:r>
    </w:p>
    <w:p>
      <w:r>
        <w:rPr>
          <w:b/>
        </w:rPr>
        <w:t>E. 4</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t>En l'espèce, le recourant se borne à fonder ses conclusions sur l'existence d'un fait nouveau irrecevable sans critiquer ne serait-ce même que succinctement le droit appliqué par l'instance précédente.</w:t>
      </w:r>
    </w:p>
    <w:p>
      <w:r>
        <w:rPr>
          <w:b/>
        </w:rPr>
        <w:t>E. 5</w:t>
      </w:r>
    </w:p>
    <w:p>
      <w:r>
        <w:t>Le recours est ainsi manifestement irrecevable ( art. 108 al. 1 let. b LTF ) et doit être traité selon la procédure simplifiée de l' art. 108 LTF , sans qu'il y ait lieu d'ordonner un échange d'écritures. La requête d'effet suspensif est sans objet.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