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2C_1037/2015 vom 23. November 2015</w:t>
      </w:r>
    </w:p>
    <w:p>
      <w:r>
        <w:t>Bundesgericht, 2015-11-23, DE</w:t>
      </w:r>
    </w:p>
    <w:p>
      <w:r>
        <w:rPr>
          <w:b/>
        </w:rPr>
        <w:t xml:space="preserve">Quelle: </w:t>
      </w:r>
      <w:r>
        <w:t>https://mcp.opencaselaw.ch/entscheid/bger_2C_1037_2015</w:t>
      </w:r>
    </w:p>
    <w:p>
      <w:r>
        <w:t>FR: TF 2C_1037/2015 du 23 novembre 2015</w:t>
      </w:r>
    </w:p>
    <w:p>
      <w:r>
        <w:t>IT: TF 2C_1037/2015 del 23 novembre 2015</w:t>
      </w:r>
    </w:p>
    <w:p>
      <w:pPr>
        <w:pStyle w:val="Heading2"/>
      </w:pPr>
      <w:r>
        <w:t>Erwägungen</w:t>
      </w:r>
    </w:p>
    <w:p>
      <w:r>
        <w:rPr>
          <w:b/>
        </w:rPr>
        <w:t>E. 1</w:t>
      </w:r>
    </w:p>
    <w:p>
      <w:r>
        <w:t>A.________ und seine Ehegattin halten zusammen 100% der Anteile einer GmbH. Das Stammkapital beträgt Fr. 30'000.--, eingeteilt in 300 Stammanteile à Fr. 100.--, wovon A.________, Gesellschafter und Geschäftsführer mit Einzelunterschrift, über 200 Stammanteile, die Ehefrau über 100 Stammanteile verfügt. Bei der Steuerveranlagung 2012 des Ehepaars blieb bei der Kantonssteuer der Vermögenssteuerwert der Stammanteile streitig. Während dieser bis dahin Fr. 60'000.-- betrug, setzte ihn die Steuerverwaltung für das Jahr 2012 neu auf Fr. 342'000.-- fest (Fr. 1'140.-- pro Anteil). Die gegen diese Veranlagung erhobene Einsprache blieb erfolglos. Mit Entscheid vom 22. Oktober 2015 wies das Verwaltungsgericht des Kantons Schwyz die gegen den Einspracheentscheid erhobene Beschwerde ab.</w:t>
      </w:r>
    </w:p>
    <w:p>
      <w:r>
        <w:t>Mit Beschwerde in öffentlich-rechtlichen Angelegenheiten vom 16. November (Postaufgabe 17. November) 2015 beantragt A.________ dem Bundesgericht, den Entscheid des Verwaltungsgerichts aufzuheben und ihm eine angemessen Umtriebsentschädigung zu entrichten sowie die Verfahrenskosten (Busse) zurückzuerstatten.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hat die Rechtsgrundlagen für die Besteuerung bzw. die Schätzung des Vermögenswerts von Beteiligungen dargelegt und anhand dieser Vorgaben die Bewertung der Beteiligungen des Beschwerdeführers und seiner Ehefrau an ihrer GmbH durch die Steuerverwaltung bestätigt. Es hat dabei auch erläutert, warum Schätzungen aus früheren Steuerperioden nicht massgeblich sind. Der Beschwerdeführer äussert sich weder zu den Bewertungsgrundsätzen noch zu deren konkreten Umsetzung in seinem Fall. Soweit er sich über eine Erhöhung des Schätzungswerts auf 570% früherer Schätzungen beklagt, unterlässt er jegliche Auseinandersetzung mit der diesbezüglich einschlägigen E. 2.3 des angefochtenen Entscheids. Bloss ein Antrag aber keine Begründung lässt sich der Beschwerdeschrift bezüglich der Kostenauferlegung durch die kantonalen Behörden entnehmen.</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