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2C_1032/2021 vom 14. März 2022</w:t>
      </w:r>
    </w:p>
    <w:p>
      <w:r>
        <w:t>Bundesgericht, 2022-03-14, DE</w:t>
      </w:r>
    </w:p>
    <w:p>
      <w:r>
        <w:rPr>
          <w:b/>
        </w:rPr>
        <w:t xml:space="preserve">Quelle: </w:t>
      </w:r>
      <w:r>
        <w:t>https://mcp.opencaselaw.ch/entscheid/bger_2C_1032_2021</w:t>
      </w:r>
    </w:p>
    <w:p>
      <w:r>
        <w:t>FR: TF 2C_1032/2021 du 14 mars 2022</w:t>
      </w:r>
    </w:p>
    <w:p>
      <w:r>
        <w:t>IT: TF 2C_1032/2021 del 14 marzo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 kantonal letztinstanzliches ( Art. 86 Abs. 1 lit. d BGG ), verfahrensabschliessendes ( Art. 90 BGG ) Urteil eines oberen Gerichts ( Art. 86 Abs. 2 BGG ). Das Rechtsmittel ist als Beschwerde in öffentlich-rechtlichen Angelegenheiten zulässig, da kein Ausschlussgrund vorliegt ( Art. 83 BGG ). Die Beschwerdeführer, gesetzlich vertreten durch die Inhaber der elterlichen Sorge (vgl. Art. 304 Abs. 1 ZGB ), sind bereits im vorinstanzlichen Verfahren als Parteien beteiligt gewesen und durch das angefochtene Urteil, das den Nichteintretensentscheid des Bildungs- und Kulturdepartements vom 9. Juni 2021 bestätigt, besonders berührt ( Art. 89 Abs. 1 lit. a und lit. b BGG ).</w:t>
      </w:r>
    </w:p>
    <w:p>
      <w:r>
        <w:rPr>
          <w:b/>
        </w:rPr>
        <w:t>E. 1.2</w:t>
      </w:r>
    </w:p>
    <w:p>
      <w:r>
        <w:t>Fraglich ist, ob die Beschwerdeführer in der vorliegenden Angelegenheit an der Aufhebung oder Änderung des angefochtenen Urteils noch ein schutzwürdiges Interesse haben ( Art. 89 Abs. 1 lit. c BGG ).</w:t>
      </w:r>
    </w:p>
    <w:p>
      <w:r>
        <w:rPr>
          <w:b/>
        </w:rPr>
        <w:t>E. 1.2.1</w:t>
      </w:r>
    </w:p>
    <w:p>
      <w:r>
        <w:t>Das schutzwürdige Interesse besteht im praktischen Nutzen, der sich ergibt, wenn die beschwerdeführende Person mit ihrem Anliegen obsiegt und dadurch ihre tatsächliche oder rechtliche Situation unmittelbar beeinflusst werden kann. Das Rechtsschutzinteresse muss daher grundsätzlich aktuell sein. Das gilt auch für die abstrakte Normenkontrolle.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t>Fällt das schutzwürdige Interesse im Laufe des Verfahrens dahin, wird die Sache als erledigt erklärt. Hat es bereits bei der Beschwerdeeinreichung gefehlt, ist auf die Eingabe nicht einzutreten (vgl. BGE 142 I 135 E. 1.3.1 ; 137 I 23 E. 1.3.1).</w:t>
      </w:r>
    </w:p>
    <w:p>
      <w:r>
        <w:rPr>
          <w:b/>
        </w:rPr>
        <w:t>E. 1.2.2</w:t>
      </w:r>
    </w:p>
    <w:p>
      <w:r>
        <w:t>Vorliegend beurteilte die Vorinstanz am 3. November 2021 einen Nichteintretensentscheid des Bildungs- und Kulturdepartements vom 9. Juni 2021. Der Gegenstand des vorinstanzlichen Verfahrens beschränkte sich folglich auf die Eintretensfrage (vgl. E. 1 des angefochtenen Urteils; vgl. auch Urteile 2C_887/2017 vom 23. März 2021 E. 3; 2C_1036/2019 vom 19. Dezember 2019 E. 2.2; 1C_227/2018 vom 25. Januar 2019 E. 1.1). Die Vorinstanz bestätigte den Nichteintretensentscheid des Departements und wies die Verwaltungsgerichtsbeschwerde ab, soweit sie darauf eintrat. Sie erwog hierbei im Wesentlichen, es bestehe kein Anfechtungsobjekt, da das Rahmenschutzkonzept lediglich eine Verwaltungsverordnung sei, die sich an die Schulleitungen und an die Bildungskommissionen richte. Das Konzept entfalte bloss mittelbar eine Aussenwirkung (vgl. E. 6 des angefochtenen Urteils).</w:t>
      </w:r>
    </w:p>
    <w:p>
      <w:r>
        <w:t>Die Maskentragpflicht an den Luzerner Primarschulen wurde per 2. Februar 2022 - mithin nach der Einreichung des bundesgerichtlichen Rechtsmittels - aufgehoben (vgl. Art. 105 Abs. 2 BGG ). Damit sind die vorliegend umstrittenen Ziffern des Rahmenschutzkonzepts, die die Maskentragpflicht betreffen, mittlerweile nicht mehr wirksam. Die Beschwerdeführer haben demzufolge an der Beurteilung der Angelegenheit kein aktuelles Rechtsschutzinteresse mehr.</w:t>
      </w:r>
    </w:p>
    <w:p>
      <w:r>
        <w:rPr>
          <w:b/>
        </w:rPr>
        <w:t>E. 1.2.3</w:t>
      </w:r>
    </w:p>
    <w:p>
      <w:r>
        <w:t>Zu prüfen bliebt, ob die Voraussetzungen vorliegen, damit auf das Erfordernis des aktuellen Rechtsschutzinteresses ausnahmsweise verzichtet werden kann.</w:t>
      </w:r>
    </w:p>
    <w:p>
      <w:r>
        <w:t>Zunächst ist darauf hinzuweisen, dass eingehend geklärt ist, unter welchen Umständen eine Verwaltungsverordnung abstrakt angefochten werden kann und unter welchen Voraussetzungen auf ein Rechtsmittel gegen eine Verwaltungsverordnung im Rahmen einer abstrakten Normenkontrolle einzutreten ist (zur ständigen Rechtsprechung vgl. BGE 136 II 415 E. 1.1; vgl. zuletzt Urteil 2C_941/2020 vom 8. Juli 2021 E. 1.5, nicht publ. in: BGE 147 I 150 ). Soweit die vorinstanzlich massgebende Eintretensfrage betreffend, stellen sich vorliegend keine Fragen, deren rechtzeitige Beantwortung im Einzelfall kaum je möglich wäre. Ausserdem fehlt es der vorliegenden Angelegenheit mit Blick auf die vorinstanzlich zu klärende Eintretensfrage an grundsätzlicher Bedeutung.</w:t>
      </w:r>
    </w:p>
    <w:p>
      <w:r>
        <w:t>Sodann hat sich das Bundesgericht in materieller Hinsicht bereits einlässlich mit der Thematik der Maskentragpflicht an der Primarschule im Frühjahr 2021 befasst (vgl. Urteile 2C_183/2021 vom 23. November 2021, zur Publikation vorgesehen; 2C_228/2021 vom 23. November 2021). Es erwog unter anderem, dass die Maskentragpflicht ab dem 5. Schuljahr an der Primarschule angesichts der im massgebenden Zeitpunkt bestehenden Unsicherheiten über die Gefährlichkeit der neuen Virusvarianten und mit Blick auf das Ermessen, das den Behörden zukommt, gerechtfertigt und verhältnismässig war (vgl. Urteil 2C_183/2021 vom 23. November 2021 E. 7.4, zur Publikation vorgesehen). Insofern bestehen im Zusammenhang mit der materiellen Kritik der Beschwerdeführer an der Maskentragpflicht ab dem 5. Schuljahr an der Primarschule im Frühjahr 2021 keine Fragen (mehr), deren Beantwortung wegen ihrer grundsätzlichen Bedeutung im öffentlichen Interesse läge.</w:t>
      </w:r>
    </w:p>
    <w:p>
      <w:r>
        <w:t>Vor diesem Hintergrund besteht in der vorliegenden Angelegenheit keine Veranlassung, auf das Erfordernis des aktuellen Rechtsschutzinteresses ausnahmsweise zu verzichten.</w:t>
      </w:r>
    </w:p>
    <w:p>
      <w:r>
        <w:rPr>
          <w:b/>
        </w:rPr>
        <w:t>E. 1.3</w:t>
      </w:r>
    </w:p>
    <w:p>
      <w:r>
        <w:t>Da das aktuelle Rechtsschutzinteresse während des hängigen bundesgerichtlichen Verfahrens entfallen und auf dieses Erfordernis vorliegend nicht zu verzichten ist, fehlt es den Beschwerdeführern somit am schutzwürdigen Interesse im Sinne von Art. 89 Abs. 1 lit. c BGG . Die Beschwerde in öffentlich-rechtlichen Angelegenheit ist als erledigt zu erklären.</w:t>
      </w:r>
    </w:p>
    <w:p>
      <w:r>
        <w:t>Soweit die Beschwerdeführer "im Sinne einer Verfassungsbeschwerde gemäss Art. 113 BGG " die Verletzung von verfassungsmässigen Rechten rügen, wird weder dargetan noch ist im Lichte des bereits Dargelegten ersichtlich, weshalb ihnen noch ein rechtlich geschütztes Interesse an der Aufhebung oder Änderung des angefochtenen Urteils zukommt ( Art. 115 lit. b BGG ). Soweit die übrigen Eintretensvoraussetzungen erfüllt wären, ist auch die subsidiäre Verfassungsbeschwerde als erledigt zu erklären.</w:t>
      </w:r>
    </w:p>
    <w:p>
      <w:r>
        <w:rPr>
          <w:b/>
        </w:rPr>
        <w:t>E. 2</w:t>
      </w:r>
    </w:p>
    <w:p>
      <w:r>
        <w:t>Die Beschwerde in öffentlich-rechtlichen Angelegenheiten und die subsidiäre Verfassungsbeschwerde sind infolge Wegfalls des schutzwürdigen respektive rechtlich geschützten Interesses als gegenstandslos abzuschreiben.</w:t>
      </w:r>
    </w:p>
    <w:p>
      <w:r>
        <w:rPr>
          <w:b/>
        </w:rPr>
        <w:t>E. 2.1</w:t>
      </w:r>
    </w:p>
    <w:p>
      <w:r>
        <w:t>Erklärt das Bundesgericht einen Rechtsstreit als erledigt, entscheidet es mit summarischer Begründung über die Prozesskosten aufgrund der Sachlage vor Eintritt des Erledigungsgrunds ( Art. 71 BGG i.V.m. Art. 72 BZP ). Bei der Beurteilung der Kosten- und Entschädigungsfolgen ist somit in erster Linie auf den mutmasslichen Ausgang des Prozesses abzustellen (vgl. BGE 142 V 551 E. 8.2; 125 V 373 E. 2a).</w:t>
      </w:r>
    </w:p>
    <w:p>
      <w:r>
        <w:rPr>
          <w:b/>
        </w:rPr>
        <w:t>E. 2.2</w:t>
      </w:r>
    </w:p>
    <w:p>
      <w:r>
        <w:t>Angesichts der bundesgerichtlichen Rechtsprechung zur Maskentragpflicht an der Primarschule im Frühjahr 2021 (vgl. Urteile 2C_183/2021 vom 23. November 2021, zur Publikation vorgesehen; 2C_228/2021 vom 23. November 2021) ist mutmasslich davon auszugehen, dass die Beschwerdeführer im vorliegenden Verfahren unterlegen wären. Somit tragen die gesetzlichen Vertreter im Sinne von Art. 304 Abs. 1 ZGB der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