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1030/2018 vom 8. Februar 2019</w:t>
      </w:r>
    </w:p>
    <w:p>
      <w:r>
        <w:t>Bundesgericht, 2019-02-08, FR</w:t>
      </w:r>
    </w:p>
    <w:p>
      <w:r>
        <w:rPr>
          <w:b/>
        </w:rPr>
        <w:t xml:space="preserve">Quelle: </w:t>
      </w:r>
      <w:r>
        <w:t>https://mcp.opencaselaw.ch/entscheid/bger_2C_1030_2018</w:t>
      </w:r>
    </w:p>
    <w:p>
      <w:r>
        <w:t>FR: TF 2C 1030/2018 du 8 février 2019</w:t>
      </w:r>
    </w:p>
    <w:p>
      <w:r>
        <w:t>IT: TF 2C 1030/2018 del 8 febbraio 2019</w:t>
      </w:r>
    </w:p>
    <w:p>
      <w:pPr>
        <w:pStyle w:val="Heading2"/>
      </w:pPr>
      <w:r>
        <w:t>Regeste</w:t>
      </w:r>
    </w:p>
    <w:p>
      <w:r>
        <w:t>Refus de délivrer une 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la recourante a divorcé d'un ressortissant bosnien au bénéfice d'une autorisation d'établissement en Suisse, l' art. 50 LEI (RS 142.20) est potentiellement de nature à lui conférer un droit à une autorisation de séjour. Le recours en matière de droit public et ainsi ouvert.</w:t>
      </w:r>
    </w:p>
    <w:p>
      <w:r>
        <w:rPr>
          <w:b/>
        </w:rPr>
        <w:t>E. 1.2</w:t>
      </w:r>
    </w:p>
    <w:p>
      <w:r>
        <w:t>Pour le surplus, l'arrêt attaqué est une décision finale ( art. 90 LTF ), rendue en dernière instance cantonale par un tribunal supérieur ( art. 86 al. 1 let . d et al. 2 LTF) dans une cause de droit public ( art. 82 let. a LTF ). Le recours ayant de surcroît été déposé en temps utile ( art. 100 al. 1 LTF ) et dans les formes requises ( art. 42 LTF ), par la recourante qui est atteinte par la décision entreprise et a un intérêt digne de protection à son annulation ou à sa modification, de sorte qu'il faut lui reconnaître la qualité pour recourir ( art. 89 al. 1 LTF ), il est partant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3</w:t>
      </w:r>
    </w:p>
    <w:p>
      <w:r>
        <w:t>Dans la mesure où la recourante s'est mariée le 10 février 2012, que le couple s'est officiellement séparé le 15 août 2012 et que la condition de la durée de l'union conjugale et cumulative avec celle de l'intégration réussie ( ATF 140 II 345 consid. 4 p. 347 s. et les références), c'est à juste titre que la Cour de justice a nié l'existence d'une union conjugale de la recourante avec son époux d'au moins trois ans et ne s'est pas prononcée sur l'intégration de la recourante en Suisse. Celle-ci ne le conteste d'ailleurs pas. La Cour de justice a toutefois également nié l'existence de violences conjugales d'une intensité suffisante pour reconnaître une situation de raisons personnelles majeures plaidant en faveur de la prolongation de l'autorisation de séjour. La recourante se plaint d'une violation de l' art. 50 al. 1 let. b et al. 2 LEI , expliquant avoir subi des violences conjugales de la part de son époux, ce qui, selon elle, justifie de prolonger son autorisation de séjour.</w:t>
      </w:r>
    </w:p>
    <w:p>
      <w:r>
        <w:rPr>
          <w:b/>
        </w:rPr>
        <w:t>E. 4.1</w:t>
      </w:r>
    </w:p>
    <w:p>
      <w:r>
        <w:t>L' 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 L' art. 50 al. 1 let. b et al. 2 LEI vise à régler les situations qui échappent aux dispositions de l' art. 50 al. 1 let. a LEI ,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395; arrêts 2C_12/2018 du 28 novembre 2018 consid. 3.1; 2C_777/2015 du 26 mai 2016 consid. 3.1, non publié in ATF 142 I 152 ).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un droit à la poursuite du séjour en Suisse ( ATF 138 II 393 consid. 3.1 p. 395; arrêt 2C_12/2018 du 28 novembre 2018 consid. 3.1 et les références).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arrêt 2C_12/2018 du 28 novembre 2018 consid. 3.1 et les références). La notion de violence conjugale inclut également la violence psychologique. A l'instar de violences physiques, seuls des actes de violence psychique d'une intensité particulière peuvent justifier l'application de l' art. 50 al. 1 let. b LEI ( ATF 138 II 229 consid. 3.2 p. 232 ss; arrêt 2C_12/2018 du 28 novembre 2018 consid. 3.1 et les références). Le fait d'exercer des contraintes psychiques d'une certaine constance et intensité peut fonder un cas de rigueur après dissolution de la communauté conjugale, au sens de l' art. 50 al. 1 let. b et al. 2 LEI . Une attaque verbale à l'occasion d'une dispute, de même qu'une simple gifle ou le fait pour un époux étranger d'avoir été enfermé une fois dehors par son épouse ne suffisent pas (cf. ATF 138 II 229 consid. 3.2.1 p. 233 et les références; arrêt 2C_12/2018 du 28 novembre 2018 consid. 3.1 et les références). En revanche, le Tribunal fédéral a considéré qu'un acte de violence isolé, mais particulièrement grave, pouvait à lui seul conduire à admettre l'existence de raisons personnelles majeures au sens de l' art. 50 al. 1 let. b et al. 2 LEI (cf. arrêt 2C_12/2018 du 28 novembre 2018 consid. 3.1 et les références).</w:t>
      </w:r>
    </w:p>
    <w:p>
      <w:r>
        <w:rPr>
          <w:b/>
        </w:rPr>
        <w:t>E. 4.2</w:t>
      </w:r>
    </w:p>
    <w:p>
      <w:r>
        <w:t>L'étranger qui se prétend victime de violences conjugales sous l'angle de l' art. 50 al. 1 let. b et al. 2 LEI est soumis à un devoir de coopération accru (cf. art. 90 LEI ; ATF 138 II 229 consid. 3.2.3 p. 235; arrêt 2C_12/2018 du 28 novembre 2018 consid. 3.2 et les références).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p. 235; arrêts 2C_12/2018 du 28 novembre 2018 consid. 3.2 et les références).</w:t>
      </w:r>
    </w:p>
    <w:p>
      <w:r>
        <w:rPr>
          <w:b/>
        </w:rPr>
        <w:t>E. 4.3</w:t>
      </w:r>
    </w:p>
    <w:p>
      <w:r>
        <w:t>En l'espèce, la Cour de justice a retenu que le dossier ne contenait que des certificats médicaux, la recourante n'ayant produit aucun rapport de police, ni aucune plainte pénale. Elle a constaté que ces certificats avaient été établis par une psychiatre et un psychologue et qu'ils faisaient état de violences conjugales dont aurait été victime la recourante, sans qu'il ne soit possible de savoir quelles ont été les violences alléguées. Les seules indications consistaient en un épisode, le 4 mars 2012, de violences verbale et physique, ainsi que "d'autres épisodes". La Cour de justice a constaté que ni les praticiens précités ni la recourante n'ont jamais donné la moindre indication supplémentaire, ajoutant que rien au dossier ne permettait de déterminer la nature précise de l'épisode du 4 mars 2012, tels le lieu de commission de ces violences ou leur fréquence de répétition. L'autorité précédente a de plus retenu que, dans ses rapports, la praticienne n'indiquait pas avoir conseillé à sa patiente d'aller consulter un médecin somaticien. Les attestations médicales mentionnaient par ailleurs comme cause des troubles présentés par la recourante, respectivement le silence de son époux quant à sa volonté de se séparer ou de reprendre la vie commune (attestation du 23 janvier 2014) ou le fait d'avoir été "abandonnée" par son époux, ce qui l'a " laissée dans le désarroi et l'incertitude relative à son séjour à Genève ".</w:t>
      </w:r>
    </w:p>
    <w:p>
      <w:r>
        <w:rPr>
          <w:b/>
        </w:rPr>
        <w:t>E. 4.4</w:t>
      </w:r>
    </w:p>
    <w:p>
      <w:r>
        <w:t>La recourante n'invoque pas à suffisance une éventuelle appréciation arbitraire des moyens de preuve par la Cour de justice. Elle se limite bien plus à présenter ses propres vision et appréciation des preuves et à affirmer de manière appellatoire que celles-ci suffisent pour reconnaître des violences conjugales. Au demeurant, même s'il fallait reconnaître une motivation suffisante, force serait de constater que l'appréciation effectuée par l'autorité précédente n'est nullement arbitraire. Il est en effet pleinement soutenable de retenir qu'en l'absence d'autres documents que les quatre rapports médicaux, dont seul celui du 23 janvier 2014 émane d'un médecin et fait état de violences conjugales, l'intensité de ces violences n'est pas démontrée. Rien ne permet en particulier de savoir ce que la recourante a effectivement subi de la part de son époux. L'appréciation de l'autorité précédente est d'autant moins arbitraire que les trois autres rapports ne sont que peu probants, puisque le rapport du 21 janvier 2013 a été rédigé par un psychologue, alors que les deux derniers font uniquement référence à l'état de santé de la recourante en mentionnant que c'est l'incertitude quant à sa situation en Suisse qui est à l'origine de cet état. Par ailleurs, il ne saurait être arbitraire de ne pas constater de violences d'une intensité suffisante dans la mesure où, dans le seul rapport de la médecin traitant de la problématique en cause, outre que celle-ci ne pose aucun diagnostic, il n'est question que de retranscription des plaintes de la recourante, mais sans même restituer les prétendues violences subies.</w:t>
      </w:r>
    </w:p>
    <w:p>
      <w:r>
        <w:rPr>
          <w:b/>
        </w:rPr>
        <w:t>E. 4.5</w:t>
      </w:r>
    </w:p>
    <w:p>
      <w:r>
        <w:t>Compte tenu de cette appréciation des preuves exempte d'arbitraire ne niant pas l'existence de violences, mais réfutant une importante intensité ou un caractère systématique à ces violences en l'absence d'autres éléments probants, concrets et objectifs, et en l'absence de problèmes de réintégration de la recourante dans son pays d'origine (celle-ci ayant vécu jusqu'à ses 30 ans dans son pays d'origine où se trouve encore sa famille qu'elle est retournée voir régulièrement), ce que celle-ci ne conteste d'ailleurs pas, il convient de retenir que c'est à bon droit que la Cour de justice a nié toute violation de l' art. 50 al. 1 let. b et al. 2 LEI . Le grief y relatif ne peut qu'être écarté.</w:t>
      </w:r>
    </w:p>
    <w:p>
      <w:r>
        <w:rPr>
          <w:b/>
        </w:rPr>
        <w:t>E. 5</w:t>
      </w:r>
    </w:p>
    <w:p>
      <w:r>
        <w:t>Sur le vu des considérants qui précèdent, le recours est rejeté. Le recours étant d'emblée dénué de chances de succès, la demande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