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2C_102/2010 vom 21. April 2011</w:t>
      </w:r>
    </w:p>
    <w:p>
      <w:r>
        <w:t>Bundesgericht, 2011-04-21, DE</w:t>
      </w:r>
    </w:p>
    <w:p>
      <w:r>
        <w:rPr>
          <w:b/>
        </w:rPr>
        <w:t xml:space="preserve">Quelle: </w:t>
      </w:r>
      <w:r>
        <w:t>https://mcp.opencaselaw.ch/entscheid/bger_2C_102_2010</w:t>
      </w:r>
    </w:p>
    <w:p>
      <w:r>
        <w:t>FR: TF 2C_102/2010 du 21 avril 2011</w:t>
      </w:r>
    </w:p>
    <w:p>
      <w:r>
        <w:t>IT: TF 2C_102/2010 del 21 aprile 2011</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17 Abs. 2 ANAG (in der Fassung vom 23. März 1990) hat der ausländische Ehegatte eines niedergelassenen Ausländers Anspruch auf Erteilung und Verlängerung der Aufenthaltsbewilligung, solange die Ehegatten zusammen wohnen (Satz 1). Nach einem ordnungsgemässen und ununterbrochenen Aufenthalt von fünf Jahren hat der Ehegatte ebenfalls Anspruch auf die Niederlassungsbewilligung (Satz 2).</w:t>
      </w:r>
    </w:p>
    <w:p>
      <w:r>
        <w:t>Der Beschwerdeführer hat sich nach eigenem Bekunden von seiner in der Schweiz niedergelassenen Ehefrau getrennt und wohnt seit Mitte Juli 2009 nicht mehr mit ihr zusammen; die Ehe besteht jedoch formell fort. Unter diesen Umständen kann er sich im Hinblick auf die Verlängerung seiner zum Verbleib beim Ehegatten ausgestellten Aufenthaltsbewilligung nicht mehr auf Art. 17 Abs. 2 Satz 1 ANAG berufen, da es zum heutigen (für die Eintretensfrage massgeblichen) Zeitpunkt an der Voraussetzung des Zusammenwohnens gebricht (vgl. zu dieser Voraussetzung: BGE 130 II 113 E. 4.1 S. 116 mit Hinweisen); ebenso wenig lassen sich in einer derartigen Konstellation Anwesenheitsansprüche aus Art. 8 Ziff. 1 EMRK bzw. Art. 13 Abs. 1 BV (Recht auf Achtung des Familienlebens) ableiten, wenn es aktuell an einer tatsächlich gelebten, intakten ehelichen Beziehung fehlt (Urteil 2P.51/2006 vom 20. März 2006, E. 3.1 mit Hinweisen). Ein den Rechtsmittelweg ans Bundesgericht öffnender Rechtsanspruch auf die anbegehrte Bewilligungsverlängerung könnte sich einzig daraus ergeben, dass der Beschwerdeführer bereits während der Dauer des Zusammenwohnens, d.h. vor Mitte Juli 2009, gestützt auf Art. 17 Abs. 2 Satz 2 ANAG einen Anspruch auf die Niederlassungsbewilligung erworben hat, in welchem Fall er sich auch nach Beendigung der ehelichen Wohngemeinschaft noch darauf berufen könnte. Zwar stand im vorinstanzlichen Verfahren keine Niederlassungsbewilligung in Frage, womit die beantragte diesbezügliche Ausweitung des Streitgegenstandes im bundesgerichtlichen Verfahren nicht in Frage kommt, doch könnte dem Beschwerdeführer, falls ein Anspruch auf Niederlassungsbewilligung im Grundsatz zu bejahen wäre, die Aufenthaltsbewilligung a maiore minus nicht verweigert werden (vgl. BGE 128 II 145 E. 1.1.4 S. 149 mit Hinweisen). Auch die Entstehung des Anspruchs auf eine Niederlassungsbewilligung setzt - neben einem ordnungsgemässen und ununterbrochenen Aufenthalt von fünf Jahren - indessen voraus, dass die Ehegatten in diesem Zeitraum zusammen gelebt haben (vgl. etwa Urteil 2A.88/2005 vom 29. Juni 2005 E. 2.2 mit Hinweisen; vgl. auch BGE 130 II 49 E. 3). Ob dies vorliegend tatsächlich der Fall war, ist angesichts der von der Vorinstanz ins Feld geführten Indizien zweifelhaft, kann aber (für die Eintretensfrage) dahingestellt bleiben, zumal die Beschwerde ohnehin abzuweisen ist.</w:t>
      </w:r>
    </w:p>
    <w:p>
      <w:r>
        <w:t>Die Frage, ob die Bewilligung verweigert werden durfte, weil ein Fall von Rechtsmissbrauch bzw. insbesondere eine Schein- oder Ausländerrechtsehe vorliegt, betrifft nicht das Eintreten, sondern bildet Gegenstand der materiellen Beurteilung (vgl. BGE 126 II 265 E. 1b S. 266 mit Hinweisen).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Als Konkretisierung des Rechtsmissbrauchsverbots im Bereich ausländerrechtlicher Bewilligungen ist diese Regel über den Geltungsbereich von Art. 7 ANAG hinaus auch in Bezug auf die Ansprüche gemäss Art. 17 Abs. 2 ANAG in gleicher Weise anwendbar ( BGE 121 II 5 E. 3a; 130 II 113 E. 4.2 S. 117). Art. 7 Abs. 2 ANAG bzw. der darin zum Ausdruck kommende Vorbehalt des Rechtsmissbrauchs bezieht sich auf die so genannte Scheinehe bzw. Ausländerrechtsehe, bei der die Ehegatten von vornherein keine echte eheliche Gemeinschaft beabsichtigen.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Dieses Ziel wird ausländerrechtlich nicht geschützt ( BGE 130 II 113 E. 4.2 S. 117; 128 II 145 E. 2 S. 151 f.; 127 II 49 E. 4a/5a, je mit Hinweisen).</w:t>
      </w:r>
    </w:p>
    <w:p>
      <w:r>
        <w:rPr>
          <w:b/>
        </w:rPr>
        <w:t>E. 2.2</w:t>
      </w:r>
    </w:p>
    <w:p>
      <w:r>
        <w:t>Die kantonalen Behörden sind aufgrund ihrer Sachverhaltserhebung zum Schluss gekommen, die Ehe des Beschwerdeführers mit seiner Gattin sei entweder von Anfang an nicht wirklich im Sinne einer affektiven, sexuellen, seelisch-geistigen und wirtschaftlichen Gemeinschaft gewollt oder aber lange vor Ablauf der Fünfjahresfrist gemäss Art. 17 Abs. 2 Satz 2 ANAG definitiv gescheitert gewesen. Es wird mithin auf eine Scheinehe oder jedenfalls eine rechtsmissbräuchliche Berufung auf eine nicht mehr gelebte Ehe geschlossen.</w:t>
      </w:r>
    </w:p>
    <w:p>
      <w:r>
        <w:rPr>
          <w:b/>
        </w:rPr>
        <w:t>E. 2.3</w:t>
      </w:r>
    </w:p>
    <w:p>
      <w:r>
        <w:t>Dass eine Ehe nur (noch) formell und ohne Aussicht auf Wiederaufnahme einer ehelichen Gemeinschaft besteht, entzieht sich in der Regel einem direkten Beweis und ist oft bloss durch Indizien zu erstellen ( BGE 128 II 145 E. 2.3 S. 152; 127 II 49 E. 5a S. 57). Feststellungen des kantonalen Richters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verbindlich sind.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2.4</w:t>
      </w:r>
    </w:p>
    <w:p>
      <w:r>
        <w:t>Es kann offenbleiben, inwieweit die von der Vorinstanz angeführten tatsächlichen Umstände des Kennenlernens und des Entschlusses zur Heirat in Verbindung mit der zeitlichen Koinzidenz von negativem Asylentscheid und Eheschluss bereits auf das Vorliegen einer Scheinehe schliessen lassen. Die von den kantonalen Behörden erhobenen Indizien lassen aber ohne Verletzung von Bundesrecht darauf erkennen, dass die Ehe jedenfalls im für die anbegehrte Bewilligungsverlängerung massgeblichen Zeitpunkt nicht (mehr) gelebt wurde. So steht fest, dass die Ehefrau bereits kurz nach Eheschliessung am 4. September 2000 eine aussereheliche Beziehung eingegangen ist, aus welcher eine Tochter hervorging. Der Beschwerdeführer weilte demgegenüber auch nach seiner Einreise in der Schweiz über längere Zeiträume ohne seine Ehefrau in Bangladesch, bisweilen ohne diese überhaupt über seine Abwesenheit zu orientieren. Sodann war der Beschwerdeführer nach unwidersprochener Darstellung der Vorinstanz von seiner Einreise an nur bis zum 1. Oktober 2001 und danach nochmals vom 3. Februar 2002 bis zum 18. August 2003 an der gemeinsamen Wohnadresse, einer von der Ehefrau gemieteten 15 m2 grossen Einzimmerwohnung, angemeldet. Vom 1. Oktober 2001 bis 3. Februar 2002 war er an einer anderen Adresse in Zürich wohnhaft. Am 18. August 2003 war er von seiner Ehefrau nach Unbekannt ab- und erst auf den 29. August 2004 wieder angemeldet worden. Der Beschwerdeführer räumt denn auch ein, von Mitte 2003 bis ca. Mitte 2004 aufgrund ehelicher Differenzen getrennt von seiner Gattin gelebt zu haben. Dass er jedoch - wenn überhaupt - frühestens ab Oktober 2004 wieder zu seiner Ehefrau gezogen sein kann, ergibt sich ohne weiteres daraus, dass sich die Ehefrau ab dem 13. September 2004 für 25 Tage in Untersuchungshaft befand, was dem Beschwerdeführer indessen nicht bekannt war. Selbst im Februar 2005 konnten anlässlich einer polizeilichen Kontrolle in der ehelichen Wohnung keine persönlichen Effekten des Beschwerdeführers vorgefunden werden. Auf den 13. Juni 2005 wurde der Beschwerdeführer von seiner Ehefrau abermals nach Unbekannt abgemeldet; die Ehefrau wurde überdies bei den Sozialbehörden ab 13. Juli 2005 als getrennt lebend registriert. Dafür, dass die erwähnten Ab- und Anmeldungen seitens der Ehefrau des Beschwerdeführers allein aus Gründen des Erhalts ihrer Sozialhilfeleistungen und damit mit betrügerischen Absichten hätten veranlasst worden sein sollen, wie der Beschwerdeführer insinuiert, bestehen keinerlei Anhaltspunkte. Vielmehr durfte die Vorinstanz unter den gegebenen Umständen ohne Verletzung von Bundesrecht den Schluss ziehen, spätestens mit der Abmeldung ihres Ehemannes im Juli 2005 habe ein eheliches Zusammenleben an der gemeinsamen Wohnadresse, an welcher der Beschwerdeführer bereits vorher nur zeitweise angemeldet war und gelebt hat, nicht mehr stattgefunden. Zu recht weist die Vorinstanz im Übrigen darauf hin, dass die Ehefrau zwischen März 2005 bis Mai 2009 behördlicherseits mehrfach aufgefordert worden war, sich zum ehelichen Zusammenleben zu äussern, indessen abgesehen von einer schriftlichen Bestätigung im März 2006, wonach der Beschwerdeführer bei ihr wohne und esse, sich nie ernsthaft um die Klärung dieses für den Ausgang des fremdenpolizeilichen Verfahrens betreffend ihren Ehemann erkennbar relevanten Umstandes bemüht hat. Damit erwies sich die - unter den gegebenen Umständen rein ausländerrechtlich motivierte - Berufung auf die nicht mehr gelebte Ehe als rechtsmissbräuchlich, soweit es im massgeblichen Zeitpunkt nicht überhaupt an der von Art. 17 Abs. 2 ANAG geforderten Voraussetzung des ehelichen Zusammenwohnens fehlte, was diesbezügliche Ansprüche zum Vornherein ausgeschlossen hätte.</w:t>
      </w:r>
    </w:p>
    <w:p>
      <w:r>
        <w:rPr>
          <w:b/>
        </w:rPr>
        <w:t>E. 3</w:t>
      </w:r>
    </w:p>
    <w:p>
      <w:r>
        <w:t>Nach dem Gesagten ist die Beschwerde als unbegründet abzuweisen, soweit darauf einzutreten ist.</w:t>
      </w:r>
    </w:p>
    <w:p>
      <w:r>
        <w:t>Bei diesem Ausgang sind die Kosten des bundesgerichtlichen Verfahrens vom Beschwerdeführer zu tragen (Art. 66 Abs. 1 in Verbindung mit Art. 65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