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1029/2014 vom 17. November 2014</w:t>
      </w:r>
    </w:p>
    <w:p>
      <w:r>
        <w:t>Bundesgericht, 2014-11-17, FR</w:t>
      </w:r>
    </w:p>
    <w:p>
      <w:r>
        <w:rPr>
          <w:b/>
        </w:rPr>
        <w:t xml:space="preserve">Quelle: </w:t>
      </w:r>
      <w:r>
        <w:t>https://mcp.opencaselaw.ch/entscheid/bger_2C_1029_2014</w:t>
      </w:r>
    </w:p>
    <w:p>
      <w:r>
        <w:t>FR: TF 2C 1029/2014 du 17 novembre 2014</w:t>
      </w:r>
    </w:p>
    <w:p>
      <w:r>
        <w:t>IT: TF 2C 1029/2014 del 17 novembre 2014</w:t>
      </w:r>
    </w:p>
    <w:p>
      <w:pPr>
        <w:pStyle w:val="Heading2"/>
      </w:pPr>
      <w:r>
        <w:t>Regeste</w:t>
      </w:r>
    </w:p>
    <w:p>
      <w:r>
        <w:t>Autorisation de séjour | Droit de cité et droit des étrangers</w:t>
      </w:r>
    </w:p>
    <w:p>
      <w:pPr>
        <w:pStyle w:val="Heading2"/>
      </w:pPr>
      <w:r>
        <w:t>Erwägungen</w:t>
      </w:r>
    </w:p>
    <w:p>
      <w:r>
        <w:rPr>
          <w:b/>
        </w:rPr>
        <w:t>E. 1</w:t>
      </w:r>
    </w:p>
    <w:p>
      <w:r>
        <w:t>Par arrêt du 9 septembre 2014, la Cour de justice du canton de Genève a tranché un recours qui opposait X.________ à l'Office cantonal de la population et des migrants du canton de Genève.</w:t>
      </w:r>
    </w:p>
    <w:p>
      <w:r>
        <w:rPr>
          <w:b/>
        </w:rPr>
        <w:t>E. 2</w:t>
      </w:r>
    </w:p>
    <w:p>
      <w:r>
        <w:t>Par mémoire de recours du 27 octobre 2014, l'intéressé demande au Tribunal fédéral de le mettre au bénéfice de l'assistance juridique, de lui accorder un délai suffisant pour compléter son recours, avec l'aide d'un conseil, de suspendre l'instruction de son recours jusqu'à jugement sur sa demande de révision, d'instruire à nouveau et annuler le JTAPI/788/2013, de renvoyer la cause à l'autorité inférieure pour nouvelle décision, de lui accorder des indemnités équitables, subsidiairement de fixer une audience de comparution des parties pour l'entendre et le confronter à l'Office cantonal et lui permettre de prouver tous ses allégués. Par ordonnance du 29 octobre 2014 adressée par courrier recommandé à X.________, la Chancellerie de la IIe Cour de droit public a constaté que le jugement de l'instance précédente n'avait pas été produit dans son intégralité parce que la copie de l'arrêt du 9 septembre 2014 ne comprenait que sa première et dernière pages. Elle a imparti au recourant un délai au 10 novembre 2014 pour remédier à cette irrégularité, l'informant qu'à défaut, son mémoire ne serait pas pris en considération. Le recourant a été avisé de l'arrivée d'un recommandé le 30 octobre 2014. Le 7 novembre 2014, n'ayant pas été réclamé, le courrier recommandé contenant l'ordonnance du 29 octobre 2014 a été retourné au Tribunal fédéral. Il doit être considéré comme valablement reçu par le recourant conformément à l' art. 44 al. 2 LTF selon lequel une communication qui n'est remise que contre la signature du destinataire ou d'un tiers habilité est réputée reçue au plus tard sept jours après la première tentative infructueuse de distribution. Cette disposition signifie qu'un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comme le recourant en l'espèce, à une procédure pendante (arrêt 1C_145/2014 du 1er mai 2014 consid. 3.3; ATF 137 III 208 consid. 3.1.2 p. 213/241; 134 V 49 consid. 4 p. 52; 130 III 396 consid. 1.2.3 p. 399). Le délai imparti au 10 novembre 2014 pour produire une copie complète de l'arrêt attaqué est donc échu sans avoir été utilisé par le recourant.</w:t>
      </w:r>
    </w:p>
    <w:p>
      <w:r>
        <w:rPr>
          <w:b/>
        </w:rPr>
        <w:t>E. 3</w:t>
      </w:r>
    </w:p>
    <w:p>
      <w:r>
        <w:t>Aux termes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le recourant n'a pas remédié à l'absence de production complète de l'arrêt attaqué dans le délai qui lui a été imparti au 10 novembre 2014. Il a été averti des conséquences d'un défaut de production de l'arrêt attaqué dans son intégralité. Par conséquent, son mémoire ne peut pas être pris en considération.</w:t>
      </w:r>
    </w:p>
    <w:p>
      <w:r>
        <w:rPr>
          <w:b/>
        </w:rPr>
        <w:t>E. 4</w:t>
      </w:r>
    </w:p>
    <w:p>
      <w:r>
        <w:t>Ne répondant pas aux exigences de l' art. 42 al. 3 et 5 LTF , le recours est ainsi manifestement irrecevable ( art. 108 al. 1 let. a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