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1028/2016 vom 9. November 2016</w:t>
      </w:r>
    </w:p>
    <w:p>
      <w:r>
        <w:t>Bundesgericht, 2016-11-09, DE</w:t>
      </w:r>
    </w:p>
    <w:p>
      <w:r>
        <w:rPr>
          <w:b/>
        </w:rPr>
        <w:t xml:space="preserve">Quelle: </w:t>
      </w:r>
      <w:r>
        <w:t>https://mcp.opencaselaw.ch/entscheid/bger_2C_1028_2016</w:t>
      </w:r>
    </w:p>
    <w:p>
      <w:r>
        <w:t>FR: TF 2C 1028/2016 du 9 novembre 2016</w:t>
      </w:r>
    </w:p>
    <w:p>
      <w:r>
        <w:t>IT: TF 2C 1028/2016 del 9 novembre 2016</w:t>
      </w:r>
    </w:p>
    <w:p>
      <w:pPr>
        <w:pStyle w:val="Heading2"/>
      </w:pPr>
      <w:r>
        <w:t>Regeste</w:t>
      </w:r>
    </w:p>
    <w:p>
      <w:r>
        <w:t>Anordnung der Ausschaffungshaft | Bürgerrecht und Ausländerrecht</w:t>
      </w:r>
    </w:p>
    <w:p>
      <w:pPr>
        <w:pStyle w:val="Heading2"/>
      </w:pPr>
      <w:r>
        <w:t>Erwägungen</w:t>
      </w:r>
    </w:p>
    <w:p>
      <w:r>
        <w:rPr>
          <w:b/>
        </w:rPr>
        <w:t>E. 1</w:t>
      </w:r>
    </w:p>
    <w:p>
      <w:r>
        <w:t>Der 1984 geborene türkische Staatsangehörige A.________ wurde am 31. August 2015 von der Grenzwache angehalten, als er illegal einreiste. Am 15. Dezember 2015 wurde er unter anderem wegen Widerhandlungen gegen das Betäubungsmittelgesetz zu einer Freiheitsstrafe von 20 Monaten verurteilt. Am 6. Oktober 2016 verfügte das Migrationsamt des Kantons Basel-Stadt seine Wegweisung, verfügte ein bis 9. Oktober 2024 gültiges Einreiseverbot und ordnete gegen ihn ab dem 9. Oktober 2016 (Zeitpunkt der bedingten Entlassung aus dem Strafvollzug) Ausschaffungshaft bis zum 8. Januar 2017 an. Der Einzelrichter für Zwangsmassnahmen im Ausländerrecht des Appellationsgerichts (als Verwaltungsgericht) des Kantons Basel-Stadt bestätigte am 12. Oktober 2016 nach mündlicher Verhandlung die Rechtmässigkeit der Ausschaffungshaft. Mit vom 3. November 2016 datierter, an das Appellationsgericht adressierter Eingabe beantragte A.________, er sei aus der Ausschaffungshaft zu entlassen. Das Appellationsgericht hat die als Haftentlassungsgesuch verfrühte Eingabe (vgl. Art. 80 Abs. 5 AuG) am 8. November 2016 zuständigkeitshalber an das Bundesgericht weitergeleitet. Sie wird als Beschwerde in öffentlich-rechtlichen Angelegenheiten entgegengenommen.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Appellationsgericht erläutert die rechtlichen Voraussetzungen der Ausschaffungshaft. Es überprüft anhand der persönlichen Verhältnisse des Beschwerdeführers umfassend, wie es sich im konkreten Fall damit verhält. Namentlich berücksichtigt und diskutiert es auch den Umstand, dass der Beschwerdeführer ein Asylgesuch gestellt hat, wobei dies nach für das Bundesgericht verbindlicher Feststellung (vgl. Art. 105 Abs. 1 und 2 BGG ) erst nach Erlass der Wegweisungsverfügung geschah. Der Beschwerdeführer schreibt in seiner Eingabe, er habe seine Familie, namentlich einen am 16. Januar 2011 geborenen Sohn, der sich immer nach seinem Verbleiben erkundige, seit über einem Jahr nicht gesehen. Er erwähnt, in der Schweiz Asyl beantragt zu haben und bittet darum, ihn aus der Ausschaffungshaft zu entlassen und ins Asylheim ziehen zu lassen, "denn dort ist es auch mit Zeit Kommen und Gehen." Dabei lässt er jegliche Auseinandersetzung mit den Erwägungen des angefochtenen Urteils vermissen; er zeigt auch nicht ansatzweise auf, inwiefern das angefochtene Urteil schweizerisches Recht verletzen würde. Die Beschwerde enthält offensichtlich keine den gesetzlichen Anforderungen genügende Begründung ( Art. 108 Abs. 1 lit. b BGG ). Es ist darauf mit Entscheid des Abteilungspräsidenten als Einzelrichter im vereinfachten Verfahren nach Art. 108 BGG nicht einzutreten.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