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2C_1027/2017 vom 13. Dezember 2017</w:t>
      </w:r>
    </w:p>
    <w:p>
      <w:r>
        <w:t>Bundesgericht, 2017-12-13, DE</w:t>
      </w:r>
    </w:p>
    <w:p>
      <w:r>
        <w:rPr>
          <w:b/>
        </w:rPr>
        <w:t xml:space="preserve">Quelle: </w:t>
      </w:r>
      <w:r>
        <w:t>https://mcp.opencaselaw.ch/entscheid/bger_2C_1027_2017</w:t>
      </w:r>
    </w:p>
    <w:p>
      <w:r>
        <w:t>FR: TF 2C_1027/2017 du 13 décembre 2017</w:t>
      </w:r>
    </w:p>
    <w:p>
      <w:r>
        <w:t>IT: TF 2C_1027/2017 del 13 dicembre 2017</w:t>
      </w:r>
    </w:p>
    <w:p>
      <w:pPr>
        <w:pStyle w:val="Heading2"/>
      </w:pPr>
      <w:r>
        <w:t>Erwägungen</w:t>
      </w:r>
    </w:p>
    <w:p>
      <w:r>
        <w:rPr>
          <w:b/>
        </w:rPr>
        <w:t>E. 1.1</w:t>
      </w:r>
    </w:p>
    <w:p>
      <w:r>
        <w:t>Am 29. Mai 2015 stellte die Steuerbehörde der Russischen Föderation ein Amtshilfeersuchen an die Eidgenössische Steuerverwaltung gestützt auf das Abkommen vom 15. November 1995 zwischen der Schweizerischen Eidgenossenschaft und der Russischen Föderation zur Vermeidung der Doppelbesteuerung auf dem Gebiet der Steuern vom Einkommen und Vermögen (SR 0.672.966.51, DBA CH-RU). Das Ersuchen betrifft die Erhebung der Gewinnsteuern bei der russischen Gesellschaft A.________ LLC im Jahr 2013. Als in der Schweiz betroffene Gesellschaft wird die G.________ AG bezeichnet.</w:t>
      </w:r>
    </w:p>
    <w:p>
      <w:r>
        <w:t>Die russische Steuerbehörde erklärt, zwischen der A.________ LLC und der zypriotischen Gesellschaft H.________ Ltd. seien folgende Darlehensverträge geschlossen worden: am 19. Juni 2012 über USD 700'000, am 5. Februar 2013 über EUR 1,5 Mio. und am 11. Februar 2013 über USD 2 Mio. Die Zahlungen seien über die I.________ SA erfolgt. Gesellschafter der A.________ LLC seien die LLC E.________ (zu 100 % bis zum 10. September 2012 und zu 0,1 % vom 11. September 2012 bis zum 9. Oktober 2013), die LLC B.________ (zu 99,9 % vom 11. September bis zum 16. Januar 2014) sowie J.________ (zu 0,1 % seit dem 10. Oktober 2013) gewesen. An der LLC E.________ sei die russische Gesellschaft LLC D.________ (heute: LLC C.________, im folgenden wird die neue Firma verwendet) zu 99,9 % beteiligt. Alleinige Teilhaberin der LLC C.________ sei die schweizerische Gesellschaft G.________ AG. Sie sei Gründerin der LLC B.________. Vom 11. September 2012 bis zum 15. August 2013 sei K.________ über die LLC B.________ Eigentümer der A.________ LLC gewesen. L.________ sei der Direktor der Gesellschaft M.________ Ltd. auf den Britischen Jungferinseln. Die M.________ Ltd. wiederum sei Direktorin der Gesellschaft N.________ Limited auf Gibraltar. N.________ Limited habe O.________ als Vertreter ernannt. Dieser sei der Vater von P.________, welch letzterer Direktor der LLC C.________ sei.</w:t>
      </w:r>
    </w:p>
    <w:p>
      <w:r>
        <w:t>Die russische Steuerbehörde vermutet, dass die Schulden der A.________ LLC gegenüber der H.________ Ltd. kontrolliert seien ("that the indebtedness [...] is controlled"). Um dies festzustellen, müsse geklärt werden, ob die H.________ Ltd. und die G.________ AG direkt oder indirekt verbundene Gesellschaften seien. Sollte der Verdacht kontrollierter Darlehen sich bewahrheiten, würde die Besteuerungsgrundlage entsprechend angepasst. Die russische Steuerbehörde stellt daher der Eidgenössischen Steuerverwaltung acht Fragen, welche die Verhältnisse bei der G.________ AG betreffen.</w:t>
      </w:r>
    </w:p>
    <w:p>
      <w:r>
        <w:rPr>
          <w:b/>
        </w:rPr>
        <w:t>E. 1.2</w:t>
      </w:r>
    </w:p>
    <w:p>
      <w:r>
        <w:t>Am 22. November 2016 erliess die Eidgenössische Steuerverwaltung Schlussverfügungen. Sie kam zum Ergebnis, Amtshilfe zu leisten und beantwortet sämtliche gestellten Fragen, teilweise unter Hinweis auf fehlende Information. Weiter will sie die russische Steuerbehörde namentlich über die Tätigkeiten und den Zweck der G.________ AG in Kenntnis setzen und mitteilen, dass Q.________, O.________ und R.________ wirtschaftlich Berechtigte und L.________ eines der Gründungsmitglieder der Gesellschaft seien. Die G.________ AG habe Anteile an der LLC D.________ (heute LLC C.________) und der F.________ Ltd. gehalten. Weiter wollte die Eidgenössische Steuerverwaltung Angaben zu Anteilen von L.________ an zwei weiteren Unternehmungen machen.</w:t>
      </w:r>
    </w:p>
    <w:p>
      <w:r>
        <w:rPr>
          <w:b/>
        </w:rPr>
        <w:t>E. 1.3</w:t>
      </w:r>
    </w:p>
    <w:p>
      <w:r>
        <w:t>Auf Beschwerde hin bestätigte das Bundesverwaltungsgericht mit Urteil vom 8. November 2017 die Schlussverfügungen der Eidgenössischen Steuerverwaltung, stellte aber zugleich fest, dass bestimmte Informationen, L.________ betreffend, über welche in einem Parallelverfahren befunden wurde, nicht übermittelt werden dürften.</w:t>
      </w:r>
    </w:p>
    <w:p>
      <w:r>
        <w:rPr>
          <w:b/>
        </w:rPr>
        <w:t>E. 2.1</w:t>
      </w:r>
    </w:p>
    <w:p>
      <w:r>
        <w:t>Mit Beschwerde in öffentlich-rechtlichen Angelegenheiten an das Bundesgericht vom 4. Dezember 2017 beantragen die A.________ LLC, die LLC B.________, die LLC C.________, die LLC E.________ und die F.________ Ltd., das Urteil des Bundesverwaltungsgerichts, soweit damit Amtshilfe gewährt werde, aufzuheben und das Gesuch der russischen Steuerbehörde vollumfänglich abzuweisen, eventuell bezüglich der wirtschaftlich Berechtigten und der Aktionäre der G.________ AG keine Informationen zu übermitteln.</w:t>
      </w:r>
    </w:p>
    <w:p>
      <w:r>
        <w:rPr>
          <w:b/>
        </w:rPr>
        <w:t>E. 2.2</w:t>
      </w:r>
    </w:p>
    <w:p>
      <w:r>
        <w:t>Nach Art. 109 Abs. 1 BGG entscheidet das Bundesgericht in Dreierbesetzung über Nichteintreten auf Beschwerden, welche die Anforderungen von Art. 84a BGG nicht erfüllen. Gegen einen Entscheid auf dem Gebiet der internationalen Amtshilfe in Steuersachen ist die Beschwerde zulässig, wenn sich eine Rechtsfrage von grundsätzlicher Bedeutung stellt oder wenn es sich aus anderen Gründen um einen besonders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w:t>
      </w:r>
    </w:p>
    <w:p>
      <w:r>
        <w:rPr>
          <w:b/>
        </w:rPr>
        <w:t>E. 2.3</w:t>
      </w:r>
    </w:p>
    <w:p>
      <w:r>
        <w:t>Die Beschwerdeführer beziehen sich auf Art. 25a Abs. 3 lit. b DBA CH-RU, wonach ein Vorbehalt zum Informationsaustausch für Informationen besteht, welche nach innerstaatlichem Recht nicht beschafft werden können. Das innerstaatliche Recht unterscheidet zwischen den Mitwirkungspflichten des Steuerpflichtigen, die in Art. 126 DBG geregelt sind, sowie den Bescheinigungspflichten Dritter gemäss den Artikeln 127 - 129 DBG. Das Bundesgericht hat hierzu entschieden, dass nach ständiger bundesgerichtlicher Praxis der Steuerpflichtige in Anwendung von Art. 126 DBG gehalten ist, der Steuerverwaltung auch Informationen zur Veranlagung einer Drittperson zu übermitteln, sofern diese Informationen seine eigene Veranlagung beeinflussen können ( BGE 142 II 69 ; Urteil 2C_690/2015 vom 13. März 2016 E. 4.2, zusammengefasst in RDAF 2017 II 122). Die diesbezügliche Rechtslage ist insoweit geklärt, was die Beschwerdeführer selber einräumen. Sie machen allerdings geltend, das Bundesverwaltungsgericht unterliege dem fundamentalen Irrtum, dass Art. 126 DBG nicht bereits per se zur Anwendung gelange, wenn Informationen über eine schweizerische Steuerpflichtige verlangt würden, sondern erst wenn die ersuchende Steuerbehörde eine Situation umschreibe, welche die Anwendung von Art. 126 DBG rechtfertige. Einem solchen Irrtum unterliegt das Bundesverwaltungsgericht jedoch nicht. Das Amtshilfeersuchen der russischen Steuerbehörde vermutet direkte und indirekte Beteiligungen der schweizerischen Steuerpflichtigen an den juristischen Personen, welche die Darlehensverträge abgeschlossen haben. Sollte es sich dabei um fiktive Zahlungen handeln, würde dies die steuerliche Situation der Gesellschaften tangieren und damit auch die Werthaltigkeit der jeweiligen Beteiligungen. Die Beschwerdeführer werfen damit jedenfalls nicht eine neue Rechtsfrage auf, die in der bundesgerichtlichen Rechtsprechung nicht schon beantwortet wäre.</w:t>
      </w:r>
    </w:p>
    <w:p>
      <w:r>
        <w:rPr>
          <w:b/>
        </w:rPr>
        <w:t>E. 3</w:t>
      </w:r>
    </w:p>
    <w:p>
      <w:r>
        <w:t>Auf die Beschwerde ist demnach mangels Rechtsfrage von grundsätzlicher Bedeutung nicht einzutreten. Dem Verfahrensausgang entsprechend haben die unterliegenden Beschwerdeführer die bundesgerichtlichen Kosten unter solidarischer Haftbarkeit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