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1026/2011 vom 23. Juli 2012</w:t>
      </w:r>
    </w:p>
    <w:p>
      <w:r>
        <w:t>Bundesgericht, 2012-07-23, DE</w:t>
      </w:r>
    </w:p>
    <w:p>
      <w:r>
        <w:rPr>
          <w:b/>
        </w:rPr>
        <w:t xml:space="preserve">Quelle: </w:t>
      </w:r>
      <w:r>
        <w:t>https://mcp.opencaselaw.ch/entscheid/bger_2C_1026_2011</w:t>
      </w:r>
    </w:p>
    <w:p>
      <w:r>
        <w:t>FR: TF 2C 1026/2011 du 23 juillet 2012</w:t>
      </w:r>
    </w:p>
    <w:p>
      <w:r>
        <w:t>IT: TF 2C 1026/2011 del 23 luglio 2012</w:t>
      </w:r>
    </w:p>
    <w:p>
      <w:pPr>
        <w:pStyle w:val="Heading2"/>
      </w:pPr>
      <w:r>
        <w:t>Regeste</w:t>
      </w:r>
    </w:p>
    <w:p>
      <w:r>
        <w:t>Widerruf der Niederlassungsbewilligung | Bürgerrecht und Ausländerrecht</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BGG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2</w:t>
      </w:r>
    </w:p>
    <w:p>
      <w:r>
        <w:t>Der Beschwerdeführer trägt zunächst vor, das Verwaltungsgericht stelle im angefochtenen Entscheid den Sachverhalt "in entscheidrelevanten Teilen offensichtlich ungenügend" fest. Dies betreffe die in Frage stehenden strafrechtlichen Verfahren und die damit verbundenen Sanktionen, ebenso die Frage einer Rückfallgefahr und schliesslich die Verbindungen des Beschwerdeführers zur Türkei (S. 5 der Beschwerdeschrift). Von einer offensichtlich unrichtigen und damit willkürlichen Sachverhaltsfeststellung kann hier keine Rede sein. Sämtliche vom Beschwerdeführer aufgeworfenen Fragen stellen nicht ein Problem der Sachverhaltsermittlung dar, sondern beschlagen die im Rahmen der Rechtsanwendung vorzunehmende Interessenabwägung (vgl. E. 4 hiernach). Daraus ergibt sich, dass der von der Vorinstanz festgestellte Sachverhalt für das Bundesgericht verbindlich ist ( Art. 105 Abs. 1 und Art. 105 Abs. 2 BGG e contrario).</w:t>
      </w:r>
    </w:p>
    <w:p>
      <w:r>
        <w:rPr>
          <w:b/>
        </w:rPr>
        <w:t>E. 3</w:t>
      </w:r>
    </w:p>
    <w:p>
      <w:r>
        <w:t>Unter den Voraussetzungen von Art. 63 AuG kann die Niederlassungsbewilligung widerrufen werden. Einen Widerrufsgrund setzt ein Ausländer unter anderem dann, wenn er "zu einer längerfristigen Freiheitsstrafe verurteilt wurde" (Art. 62 lit. b AuG in Verbindung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In schwerwiegender Weise gegen die öffentliche Sicherheit und Ordnung verstösst in der Regel, wer durch seine Handlungen besonders hochwertige Rechtsgüter wie namentlich die körperliche, psychische und sexuelle Integrität eines Menschen verletzt oder gefährdet ( BGE 137 II 297 E. 3.3).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(vgl. Urteil 2C_679/2011 vom 21. Februar 2012, E. 3.1). 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4.1</w:t>
      </w:r>
    </w:p>
    <w:p>
      <w:r>
        <w:t>Der Beschwerdeführer bestreitet das Vorliegen eines Widerrufsgrundes (Art. 63 Abs. 1 lit. a in Verbindung mit Art. 62 lit. b AuG) zu Recht nicht. Er macht aber geltend, das Verwaltungsgericht bzw. die kantonalen Behörden hätten eine qualifiziert unrichtige Interessenabwägung vorgenommen und seien einem "Automatismus Bestrafung über einem Jahr = Widerrufsgrund = Wegweisung" verfallen. Der Widerruf der Niederlassungsbewilligung erweise sich als unverhältnismässig: Dem Beschwerdeführer sei im Vorfeld zur bedingten Entlassung eine gute Prognose gestellt worden und er habe sich seitdem (25. Mai 2011) keinen Verstoss gegen die Rechtsordnung mehr zu Schulden kommen lassen. Er verdiene "mit enormem Einsatz aktuell Fr. 4'600.--" und sei fest in der Schweiz integriert. Die gesamte Familie lebe hier und er habe in der Türkei keine Verwandten mehr. Art. 8 EMRK sei klar verletzt.</w:t>
      </w:r>
    </w:p>
    <w:p>
      <w:r>
        <w:rPr>
          <w:b/>
        </w:rPr>
        <w:t>E. 4.2</w:t>
      </w:r>
    </w:p>
    <w:p>
      <w:r>
        <w:t>Die Vorinstanz hat zutreffend festgestellt, dass Ausgangspunkt und Massstab der fremdenpolizeilichen Güterabwägung in erster Linie die Schwere des Verschuldens ist, das sich in der Dauer der Freiheitsstrafe niederschlägt (Urteil 2C_295/2009 vom 25. September 2009 E. 5.3, nicht publ. in: BGE 135 II 377 ; BGE 129 II 215 E. 3.1 S. 316). Zu Lasten des Beschwerdeführers fällt besonders seine ständige und wiederholte Delinquenz ins Gewicht (vgl. vorne lit. B), die auf Unverbesserlichkeit schliessen lässt. Von den ausgefällten Strafen und Massnahmen sowie von der fremdenpolizeilichen Verwarnung hat sich der Beschwerdeführer offensichtlich nicht beeindrucken lassen. Wenn das Verwaltungsgericht bei ihm - der geltend gemacht hatte, er habe mit den illegalen Autofahrten (vorne lit. B, am Ende) lediglich seine Frustrationen abgebaut - auf eine erhöhte Wiederholungsgefahr geschlossen hat, lässt sich dies unter diesen Umständen nicht beanstanden. Hinzu kommt, dass der Beschwerdeführer - im Gegensatz etwa zu den Fällen Maslov und Emre (vgl. Urteile des EGMR Maslov gegen Österreich vom 23. Juni 2008 [1638/03] sowie Emre gegen Schweiz vom 22. August 2008 [42034/04]) nicht bloss im Jugendalter delinquiert hat; den Raub etwa beging er im Jahre 2006 als Erwachsener. Nichts zu seinen Gunsten kann der Beschwerdeführer sodann aus seinem Verhalten in der Zeit nach der (letzten) Tat ableiten: Insbesondere wird eine gute Führung im Strafvollzug vom Strafgefangenen generell erwartet und lässt angesichts der dort vorhandenen, verhältnismässig engmaschigen Betreuung keine verlässlichen Rückschlüsse auf das künftige Verhalten in Freiheit zu. Hinzu kommt, dass für Legalprognosen in fremdenpolizeilicher Hinsicht mit Blick auf das im Vordergrund stehende Interesse der öffentlichen Ordnung und Sicherheit ein strengerer Beurteilungsmassstab zum Tragen kommt als im strafrechtlichen Sanktionenrecht (vgl. BGE 120 Ib 129 E. 5b S. 132; 130 II 176 E. 4.3.3 S. 188).</w:t>
      </w:r>
    </w:p>
    <w:p>
      <w:r>
        <w:rPr>
          <w:b/>
        </w:rPr>
        <w:t>E. 4.3</w:t>
      </w:r>
    </w:p>
    <w:p>
      <w:r>
        <w:t>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vgl. auch Urteil des EGMR Khan gegen Vereinigtes Königreich vom 12. Januar 2010, [47486/06] § 34 f. mit Hinweisen). Der Anspruch auf Schutz des Privatlebens kann auch ohne Familienbezug tangiert sein, wenn ein Ausländer ausgewiesen werden soll (Urteil des EGMR A.A. gegen Vereinigtes Königreich vom 20. September 2011, [8000/08] § 49). Aus diesem Anspruch ergibt sich ein Recht auf Verbleib im Land aber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 Zwar leben die Eltern des Beschwerdeführers und auch seine jüngere Schwester in der Schweiz. Der Beschwerdeführer ist aber der Kernfamilie entwachsen, unverheiratet und hat keine Kinder. Wohl mag er in der Freizeit dem Fussballspiel im Verein B.________ nachgehen, beruflich fest angestellt ist er nach eigenen Angaben (S. 8 der Beschwerdeschrift) jedoch erst seit dem 1. Januar 2012. Von besonders intensiven privaten Beziehungen beruflicher und gesellschaftlicher Natur kann unter diesen Umständen nicht die Rede sein.</w:t>
      </w:r>
    </w:p>
    <w:p>
      <w:r>
        <w:rPr>
          <w:b/>
        </w:rPr>
        <w:t>E. 4.4</w:t>
      </w:r>
    </w:p>
    <w:p>
      <w:r>
        <w:t>Soweit der Beschwerdeführer geltend macht, er habe keinen Bezug zum Heimatland seiner Eltern und er kenne niemanden dort, ist ihm entgegenzuhalten, dass das Verwaltungsgericht zu Recht von zwar geringen, aber doch vorhandenen Beziehungen zur Türkei ausgegangen ist. Der Beschwerdeführer verbrachte in jungen Jahren im Heimatland seiner Eltern verschiedentlich seine Ferien (vorne lit. A) und war unbestrittenermassen auch mit einer dort lebenden Landsfrau verlobt. Dass in der Türkei keine näheren Verwandten leben und er offenbar über nicht (mehr) ganz perfekte Sprachkenntnisse verfügt, schliesst nicht aus, dass er in diesem Land leben und arbeiten kann.</w:t>
      </w:r>
    </w:p>
    <w:p>
      <w:r>
        <w:rPr>
          <w:b/>
        </w:rPr>
        <w:t>E. 4.5</w:t>
      </w:r>
    </w:p>
    <w:p>
      <w:r>
        <w:t>Somit ist unter keinem Teilgehalt von Art. 8 EMRK eine Verletzung ersichtlich, und die vorgenommene Interessenabwägung erweist sich als bundesrechts- bzw. konventionskonform (vgl. zu Fällen, in denen die Ausländer als kleine Kinder ins Gastland kamen, auch das Urteil des EGMR Baghli gegen Frankreich vom 30. November 1999 [34374/97] sowie die Nichtzulassungsentscheide Bairouk gegen Frankreich vom 26. Februar 2002 [56115] und Demir gegen Frankreich vom 30. Mai 2006 [33736/03], wo sogar die Kernfamilie des Betroffenen im Gastland lebte]). Soweit der Beschwerdeführer auf die Empfehlungen des Europarates verweist, wonach im Aufenthaltsstaat geborene und aufgewachsene Ausländer nicht ausgewiesen werden sollen, ist zu bemerken, dass diese Empfehlungen nicht rechtsverbindlich sind. Der EGMR hat im Übrigen wiederholt bestätigt, dass ein solches Recht nicht aus Art. 8 EMRK abgeleitet werden kann (vgl. Urteil Üner gegen Niederlande vom 18. Oktober 2006 [46410/99], § 55; kürzlich wieder bestätigt beispielsweise in den Urteilen Samsonnikov gegen Estland vom 3. Juli 2012 [52178/10], § 86 und Balogun gegen Vereinigtes Königreich vom 10. April 2012 [60286/09], § 45]). Der Umstand, dass einzelne Staaten die Ausweisung von Ausländern der zweiten Generation nicht vorsehen, hindert andere Staaten nicht daran, solche Ausweisungen vorzusehen (Urteil des EGMR Trabelsi gegen Deutschland vom 13. Oktober 2011 [41548/06], § 54). Aus dem vom Beschwerdeführer angerufenen Art. 12 Abs. 4 (Einreise in "eigenes Land") des UNO-Paktes II (SR 0.103.2) ergibt sich nichts anderes ( BGE 122 II 433 E. 3c), insbesondere auch nicht mit Blick auf die Entscheide Nystrom gegen Australien vom 18. August 2011 (C/102/D1557/2007) und Wasame gegen Kanada vom 21. Juli 2011 (C /102/D/1959/2010) des UN-Ausschusses für Menschenrechte, welch Letzterer für einen Aufenthaltsanspruch im Gastland - nebst dem Kriterium der langen Anwesenheit und jenem der engen persönlichen/familiären Beziehungen - das Fehlen jeder Beziehung zum Heimatstaat als massgebend erachtet und gemäss welchem auch die Sprachkenntnisse von Bedeutung sind. Der Beschwerdeführer ist gemäss den verbindlichen Feststellungen der Vorinstanz (vgl. vorne E. 2) zwar stark mit der Schweiz verbunden; es fehlt ihm aber nicht an jeglichen Beziehungen zum Heimatstaat, namentlich auch in sprachlicher Hinsicht nicht (vgl. vorne lit. A und E. 4.4).</w:t>
      </w:r>
    </w:p>
    <w:p>
      <w:r>
        <w:rPr>
          <w:b/>
        </w:rPr>
        <w:t>E. 5</w:t>
      </w:r>
    </w:p>
    <w:p>
      <w:r>
        <w:t>Dies führt zur Abweisung der Beschwerde. Dem Ausgang des Verfahrens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