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1025/2018 vom 3. Dezember 2018</w:t>
      </w:r>
    </w:p>
    <w:p>
      <w:r>
        <w:t>Bundesgericht, 2018-12-03, IT</w:t>
      </w:r>
    </w:p>
    <w:p>
      <w:r>
        <w:rPr>
          <w:b/>
        </w:rPr>
        <w:t xml:space="preserve">Quelle: </w:t>
      </w:r>
      <w:r>
        <w:t>https://mcp.opencaselaw.ch/entscheid/bger_2C_1025_2018</w:t>
      </w:r>
    </w:p>
    <w:p>
      <w:r>
        <w:t>FR: TF 2C 1025/2018 du 3 décembre 2018</w:t>
      </w:r>
    </w:p>
    <w:p>
      <w:r>
        <w:t>IT: TF 2C 1025/2018 del 3 dicembre 2018</w:t>
      </w:r>
    </w:p>
    <w:p>
      <w:pPr>
        <w:pStyle w:val="Heading2"/>
      </w:pPr>
      <w:r>
        <w:t>Regeste</w:t>
      </w:r>
    </w:p>
    <w:p>
      <w:r>
        <w:t>Sequestro di animali (effetto sospensivo) | Equilibrio ecologico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In ragione dell'effetto devolutivo dei gravami sin qui interposti la ricorrente è legittimata a formulare conclusioni riguardanti solo l'annullamento o la riforma della sentenza del Tribunale cantonale amministrativo. Le conclusioni con le quali chiede l'annullamento delle decisioni del 4 dicembre 2017 rispettivamente del 1° febbraio 2018 sono pertanto inammissibili ( DTF 134 II 142 consid. 1.4 pag. 144).</w:t>
      </w:r>
    </w:p>
    <w:p>
      <w:r>
        <w:rPr>
          <w:b/>
        </w:rPr>
        <w:t>E. 2.2</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 Va inoltre precisato che quando, come in concreto, oggetto di disamina è il rifiuto di restituire l'effetto sospensivo a un ricorso, cioè una decisione in materia di provvedimenti cautelari ( art. 98 LTF ), contro la stessa può unicamente essere fatta valere la violazione di diritti costituzionali ( DTF 137 III 475 consid. 2 pag. 477), che va motivata in ossequio ai principi più severi dell' art. 106 cpv. 2 LTF ( DTF 141 I 36 consid. 1.3 pag. 41; 134 II 192 consid. 1.5 pag. 196 seg.).</w:t>
      </w:r>
    </w:p>
    <w:p>
      <w:r>
        <w:rPr>
          <w:b/>
        </w:rPr>
        <w:t>E. 2.3</w:t>
      </w:r>
    </w:p>
    <w:p>
      <w:r>
        <w:t>Il ricorso in esame non adempie all'evidenza dette esigenze. Se l'allegato ricorsuale espone il punto di vista della ricorrente, la quale ridiscute (come già dinanzi all'autorità precedente) in gran parte il merito della causa, aspetto che esula dall'attuale giudizio, ella tuttavia non spiega in che cosa e perché la motivazione della sentenza cantonale sarebbe contraria al diritto rispettivamente non si confronta nelle debite forme con i motivi che hanno indotto la Corte cantonale a rendere il giudizio querelato. In particolare si cerca invano nell'impugnativa un qualsiasi diritto costituzionale reputato violato. Da quanto precede discende che l'argomentazione della ricorrente non è topica e non rispetta le esigenze di motivazione poste dall'art. 42 cpv. 2 in relazione con l' art. 106 cpv. 2 LTF (vedasi per analogia DTF 138 I 97 consid. 4.1.4 pag. 100 e riferimenti) : l'impugnativa sfugge di conseguenza ad un esame di merito. Il presente ricorso va quindi dichiarato inammissibile e può essere deciso sulla base della procedura semplificata dell' art. 108 cpv. 1 lett. b LTF .</w:t>
      </w:r>
    </w:p>
    <w:p>
      <w:r>
        <w:rPr>
          <w:b/>
        </w:rPr>
        <w:t>E. 3</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