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2C_1018/2020 vom 24. März 2021</w:t>
      </w:r>
    </w:p>
    <w:p>
      <w:r>
        <w:t>Bundesgericht, 2021-03-24, FR</w:t>
      </w:r>
    </w:p>
    <w:p>
      <w:r>
        <w:rPr>
          <w:b/>
        </w:rPr>
        <w:t xml:space="preserve">Quelle: </w:t>
      </w:r>
      <w:r>
        <w:t>https://mcp.opencaselaw.ch/entscheid/bger_2C_1018_2020</w:t>
      </w:r>
    </w:p>
    <w:p>
      <w:r>
        <w:t>FR: TF 2C_1018/2020 du 24 mars 2021</w:t>
      </w:r>
    </w:p>
    <w:p>
      <w:r>
        <w:t>IT: TF 2C_1018/2020 del 24 marzo 2021</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En l'espèce, le recourant invoque l' art. 8 CEDH sous l'angle de la protection de sa vie familiale. Comme il n'est pas d'emblée exclu que les conditions de ces dispositions soient remplies en l'espèce, le recours échappe à la clause d'irrecevabilité de l' art. 83 let . c ch. 2 LTF. Le recours est partant recevable, étant rappelé que le point de savoir si le recourant dispose effectivement d'un droit au séjour relève du fond et non de la recevabilité (cf. ATF 136 II 177 consid. 1.1 p. 179).</w:t>
      </w:r>
    </w:p>
    <w:p>
      <w:r>
        <w:rPr>
          <w:b/>
        </w:rPr>
        <w:t>E. 1.2</w:t>
      </w:r>
    </w:p>
    <w:p>
      <w:r>
        <w:t>Dans la mesure où le recourant demande l'annulation de la décision du Secrétariat d'État du 29 août 2018, sa conclusion est irrecevable en raison de l'effet dévolutif complet du recours auprès du Tribunal administratif fédéral ( ATF 136 II 539 consid. 1.2 p. 543).</w:t>
      </w:r>
    </w:p>
    <w:p>
      <w:r>
        <w:rPr>
          <w:b/>
        </w:rPr>
        <w:t>E. 1.3</w:t>
      </w:r>
    </w:p>
    <w:p>
      <w:r>
        <w:t>Le recours, dirigé contre une décision finale ( art. 90 LTF ) rendue par le Tribunal administratif fédéral ( art. 86 al. 1 let. a LTF ), a par ailleurs été déposé en temps utile ( art. 100 al. 1 LTF ) et dans les formes requises ( art. 42 LTF ) par le destinataire de l'arrêt attaqué, qui a qualité pour recourir (cf. art. 89 al. 1 LTF ). Il convient donc d'entrer en matière.</w:t>
      </w:r>
    </w:p>
    <w:p>
      <w:r>
        <w:rPr>
          <w:b/>
        </w:rPr>
        <w:t>E. 1.4</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 Le recourant annonce qu'il entend s'en prendre à l'établissement des faits par l'instance précédente mais n'expose ensuite nullement en quoi les conditions de l' art. 97 al. 1 LTF seraient remplies à cet effet.</w:t>
      </w:r>
    </w:p>
    <w:p>
      <w:r>
        <w:t>Par ailleurs, aucun fait nouveau ni preuve nouvelle ne peut en principe être présenté devant le Tribunal fédéral ( art. 99 al. 1 LTF ). Il s'ensuit que le document daté du 6 novembre 2020 produit par le recourant est irrecevable.</w:t>
      </w:r>
    </w:p>
    <w:p>
      <w:r>
        <w:rPr>
          <w:b/>
        </w:rPr>
        <w:t>E. 2</w:t>
      </w:r>
    </w:p>
    <w:p>
      <w:r>
        <w:t>Le recourant ne se plaint en aucune manière de l'application de l'art. 50 LEtr par l'instance précédente, qui a du reste dûment exposé son contenu et la jurisprudence y relative et en a correctement fait l'application de sorte qu'il peut être renvoyé aux considérants de l'arrêt attaqué sur ce point.</w:t>
      </w:r>
    </w:p>
    <w:p>
      <w:r>
        <w:rPr>
          <w:b/>
        </w:rPr>
        <w:t>E. 3</w:t>
      </w:r>
    </w:p>
    <w:p>
      <w:r>
        <w:t>Invoquant la relation avec sa fille de nationalité suisse et son séjour de six ans en Suisse, le recourant se prévaut exclusivement d'une mauvaise application de l' art. 8 CEDH .</w:t>
      </w:r>
    </w:p>
    <w:p>
      <w:r>
        <w:rPr>
          <w:b/>
        </w:rPr>
        <w:t>E. 3.1</w:t>
      </w:r>
    </w:p>
    <w:p>
      <w:r>
        <w:t>Sous l'angle du droit à la vie familiale (cf. art. 8 par. 1 CEDH et art. 13 al. 1 Cst. ), la jurisprudence retient de manière constante que le parent étranger qui dispose d'un droit de visite sur son enfant habilité à résider en Suisse peut en principe exercer ce droit même s'il vit à l'étranger (cf. ATF 144 I 91 consid. 5.1 p. 96 s.). Il n'est ainsi en principe pas nécessaire que, dans l'optique de pouvoir exercer son droit de visite, le parent étranger soit habilité à résider durablement dans le même pays que son enfant.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 ATF 144 I 91 consid. 5.1 p. 96 s.).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p. 97 s., 143 I 21 consid. 5.5.1 p. 29).</w:t>
      </w:r>
    </w:p>
    <w:p>
      <w:r>
        <w:rPr>
          <w:b/>
        </w:rPr>
        <w:t>E. 3.1.1</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arrêts cités). Une telle solution prend également en compte l' art. 9 par. 3 CDE (cf. ATF 140 I 145 consid. 3.2 p. 148; 139 I 315 consid. 2.4 et 2.5 p. 321).</w:t>
      </w:r>
    </w:p>
    <w:p>
      <w:r>
        <w:rPr>
          <w:b/>
        </w:rPr>
        <w:t>E. 3.1.2</w:t>
      </w:r>
    </w:p>
    <w:p>
      <w:r>
        <w:t>Quant aux liens économiques, ils supposent que l'étranger verse une contribution financière pour l'entretien de l'enfant. Cette contribution peut également avoir lieu en nature, en particulier en cas de garde alternée ( ATF 144 I 91 consid. 5.2.2 p. 99).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 p. 99 et les arrêts cités).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p. 99 et les arrêts cités).</w:t>
      </w:r>
    </w:p>
    <w:p>
      <w:r>
        <w:rPr>
          <w:b/>
        </w:rPr>
        <w:t>E. 3.1.3</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arrêts cités).</w:t>
      </w:r>
    </w:p>
    <w:p>
      <w:r>
        <w:rPr>
          <w:b/>
        </w:rPr>
        <w:t>E. 3.2</w:t>
      </w:r>
    </w:p>
    <w:p>
      <w:r>
        <w:t>En l'espèce, le recourant prétend que les quatre conditions fixées par la jurisprudence sont réunies.</w:t>
      </w:r>
    </w:p>
    <w:p>
      <w:r>
        <w:rPr>
          <w:b/>
        </w:rPr>
        <w:t>E. 3.2.1</w:t>
      </w:r>
    </w:p>
    <w:p>
      <w:r>
        <w:t>Sous l'angle du lien affectif, le recourant a été mis au bénéfice d'un large droit de visite par les autorités judiciaires en avril 2016. Entre décembre 2014 et avril 2015, le recourant a rendu visite à sa fille. Puis, les époux ayant repris la vie commune du mois d'août 2015 jusqu'au mois d'avril, mai ou juin 2016, le recourant a entretenu des contacts quotidiens avec son enfant. A la suite de la deuxième séparation des époux, la mère de l'enfant a attesté que le recourant exerçait son droit de visite en prenant sa fille tous les quinze jours à son domicile; puis elle a déclaré, dans un courrier daté du 15 août 2017, que l'intéressé ne s'occupait subitement plus de sa fille. Elle a ensuite attesté, par écrits du 5 juin 2019, que son époux exerçait son droit de visite, que celui-ci n'avait jamais été interrompu depuis leur séparation au mois d'avril 2016 et que même si l'intéressé n'avait pas pris chez lui leur fille au début de l'année 2019, lorsqu'il était domicilié à La Chaux-de-Fonds, en raison de l'éloignement et de problèmes financiers, ce dernier l'hébergeait à raison d'un week-end sur deux, du vendredi soir au samedi soir. Enfin, il ressort des dernières informations fournies par le recourant (cf. lettre de l'avocat de son épouse du 22 septembre 2020) et sur lesquelles se fonde également l'arrêt attaqué, que le recourant avait été en mesure de "maintenir un lien avec sa fille, principalement limité à la journée en fin de semaine, compte tenu de sa situation de logement et de ses moyens financiers limités à l'heure actuelle".</w:t>
      </w:r>
    </w:p>
    <w:p>
      <w:r>
        <w:t>Eu égard au droit de visite usuel tel qu'il est exercé en Suisse romande (cf. consid. 3.1.1. ci-dessus) et au libre et large droit de visite tel qu'il avait été fixé en faveur du recourant dans le jugement du 21 avril 2016 ou lors de séance d'audience du Tribunal d'arrondissement de La Côte du 31 août 2020, l'instance précédente a constaté à bon doit que les relations entretenues par le recourant avec son enfant se sont réduites avec le temps, puisqu'elles se sont limitées principalement à une journée en fin de semaine. Les allégations contraires et explications du recourant destinées à démontrer l'exercice d'un droit de visite plus large ne ressortent pas des faits constatés par l'instance précédente.</w:t>
      </w:r>
    </w:p>
    <w:p>
      <w:r>
        <w:rPr>
          <w:b/>
        </w:rPr>
        <w:t>E. 3.2.2</w:t>
      </w:r>
    </w:p>
    <w:p>
      <w:r>
        <w:t>L'instance précédente a jugé que la condition relative à la relation économique étroite était remplie, puisque le recourant s'était toujours efforcé de verser régulièrement la pension alimentaire, même lorsqu'il était au bénéfice du revenu d'insertion. Il en sera tenu compte dans l'appréciation globale de la situation du recourant.</w:t>
      </w:r>
    </w:p>
    <w:p>
      <w:r>
        <w:rPr>
          <w:b/>
        </w:rPr>
        <w:t>E. 3.2.3</w:t>
      </w:r>
    </w:p>
    <w:p>
      <w:r>
        <w:t>Le recourant ne peut en revanche pas se prévaloir d'un comportement irréprochable. Il ressort en effet de l'arrêt attaqué qu'il a été condamné, par ordonnance pénale du 23 avril 2015, à une peine de 50 jours-amende avec sursis pendant deux ans et à une amende de 450 francs pour lésions corporelles simples qualifiées, voies de fait qualifiées et menaces qualifiées sur la personne de son épouse en raison de faits s'étant déroulés entre le mois de mars et de novembre 2014, ce qui ne saurait être considéré comme un délit de faible importance, quoi qu'il en pense. A cela s'ajoute qu'il fait l'objet de poursuites, ainsi que de dix-neuf actes de défaut de biens pour un montant total de plus de 52'000 francs (cf. extrait du registre des poursuites du 7 octobre 2020 et qu'il a bénéficié des prestations sociales sous la forme du revenu minimum d'insertion à quarante-cinq reprises, entre 2015 et 2020, pour un montant total de 108'381 francs (cf. décompte bénéficiaire chronologique du 24 septembre 2020).</w:t>
      </w:r>
    </w:p>
    <w:p>
      <w:r>
        <w:rPr>
          <w:b/>
        </w:rPr>
        <w:t>E. 3.2.4</w:t>
      </w:r>
    </w:p>
    <w:p>
      <w:r>
        <w:t>Enfin, le recourant pourra conserver depuis le Brésil des relations affectives avec sa fille - certes avec l'aide de la mère - par le biais des nouveaux médias de communications. Sous cet angle, la distance entre la Suisse et le Brésil ne s'oppose pas à ce que père et fille se voient régulièrement.</w:t>
      </w:r>
    </w:p>
    <w:p>
      <w:r>
        <w:rPr>
          <w:b/>
        </w:rPr>
        <w:t>E. 3.3</w:t>
      </w:r>
    </w:p>
    <w:p>
      <w:r>
        <w:t>Au vu de l'ensemble des circonstances, il y a lieu de considérer que le recourant ne peut pas se prévaloir de manière soutenable de la protection de la vie de famille garantie par l' art. 8 CEDH . Le temps passé en visite avec sa fille a diminué, pour se situer en dessous des standards usuels. Ensuite seules des infractions mineures permettent de faire abstraction de la condition relative au comportement irréprochable, ce qui ne saurait être le cas des lésions corporelles simples qualifiées, voies de fait qualifiées et menaces qualifiées commises par le recourant en l'occurrence, comme l'a jugé à bon droit l'instance précédente en se référant à l'arrêt 2C_904/2018 du 24 avril 2019 (consid. 5). Enfin, le soutien économique qu'il apporte à sa fille dépend dans une large mesure de l'aide sociale ou d'emprunts qui engendrent finalement des poursuites et des actes de défaut de biens (cf. consid. 3.2.3 ci-dessus).</w:t>
      </w:r>
    </w:p>
    <w:p>
      <w:r>
        <w:rPr>
          <w:b/>
        </w:rPr>
        <w:t>E. 3.4</w:t>
      </w:r>
    </w:p>
    <w:p>
      <w:r>
        <w:t>Le recourant soutient encore mais en vain que le refus d'approuver son permis de séjour viole son droit au respect de la vie privée.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n'a résidé légalement en Suisse que six ans et ne peut pas se prévaloir d'une forte intégration puisqu'il a été condamné pénalement et bénéficie régulièrement du revenu d'insertion.</w:t>
      </w:r>
    </w:p>
    <w:p>
      <w:r>
        <w:rPr>
          <w:b/>
        </w:rPr>
        <w:t>E. 4</w:t>
      </w:r>
    </w:p>
    <w:p>
      <w:r>
        <w:t>Les considérants qui précèdent conduisent au rejet du recours dans la mesure où il est recevable. Le recours étant d'emblée dénué de chances de succès, la demande d'assistance judiciaire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