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2C_1017/2018 vom 23. April 2019</w:t>
      </w:r>
    </w:p>
    <w:p>
      <w:r>
        <w:t>Bundesgericht, 2019-04-23, FR</w:t>
      </w:r>
    </w:p>
    <w:p>
      <w:r>
        <w:rPr>
          <w:b/>
        </w:rPr>
        <w:t xml:space="preserve">Quelle: </w:t>
      </w:r>
      <w:r>
        <w:t>https://mcp.opencaselaw.ch/entscheid/bger_2C_1017_2018</w:t>
      </w:r>
    </w:p>
    <w:p>
      <w:r>
        <w:t>FR: TF 2C_1017/2018 du 23 avril 2019</w:t>
      </w:r>
    </w:p>
    <w:p>
      <w:r>
        <w:t>IT: TF 2C_1017/2018 del 23 aprile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le recourant est père d'un enfant mineur de nationalité suisse et vit séparé d'une ressortissante suisse, les art. 50 LEI et 8 CEDH sont potentiellement de nature à lui conférer un droit à une autorisation de séjour. Le recours en matière de droit public et ainsi ouvert. Le recours constitutionnel subsidiaire doit quant à lui être déclaré irrecevable, cette voie de droit n'étant pas ouverte contre les arrêts du Tribunal administratif fédéral ( art. 113 LTF</w:t>
      </w:r>
    </w:p>
    <w:p>
      <w:r>
        <w:t>a contrario ).</w:t>
      </w:r>
    </w:p>
    <w:p>
      <w:r>
        <w:rPr>
          <w:b/>
        </w:rPr>
        <w:t>E. 1.2</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le recours est en principe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En l'occurrence, dans la mesure où le recourant se prévaut de manière très générale d'établissement inexact des faits, il ne saurait être suivi. Il ne motive en effet pas à suffisance son grief, se contentant de présenter ses propres vision et appréciation des faits et de les opposer à celles de l'autorité précédente. Une telle manière de faire ne saurait être admise. Dans ces conditions, le Tribunal fédéral examinera le recours sur la seule base des faits retenus par le Tribunal administratif fédéral dans l'arrêt entrepris.</w:t>
      </w:r>
    </w:p>
    <w:p>
      <w:r>
        <w:rPr>
          <w:b/>
        </w:rPr>
        <w:t>E. 3</w:t>
      </w:r>
    </w:p>
    <w:p>
      <w:r>
        <w:t>Le recourant se plaint d'une violation de l' art. 50 LEI , expliquant que son union conjugale a duré plus de trois ans, que son intégration est réussie (ancien art. 50 al. 1 let. a LEtr [RO 2007 5437], cf. art. 126 al. 1 LEI ) et que la poursuite de son séjour en Suisse s'impose pour des raisons personnelles majeures ( art. 50 al. 1 let. b LEI , notamment en relation avec l' art. 8 CEDH ), en raison de la présence en suisse de son fils. Le recourant vivant séparé d'une ressortissante suisse, c'est à juste titre qu'il n'invoque pas l' art. 42 al. 1 LEI , qui prévoit notamment que le conjoint d'un ressortissant suisse a droit à l'octroi d'une autorisation de séjour et à la prolongation de sa durée de validité à condition de vivre en ménage commun avec lui.</w:t>
      </w:r>
    </w:p>
    <w:p>
      <w:r>
        <w:rPr>
          <w:b/>
        </w:rPr>
        <w:t>E. 4.1</w:t>
      </w:r>
    </w:p>
    <w:p>
      <w:r>
        <w:t>Selon l'ancien art. 50 al. 1 let. a LEtr, après dissolution de la famille, le droit du conjoint et des enfants à l'octroi d'une autorisation de séjour et à la prolongation de sa durée de validité en vertu des anciens art. 42 et 43 LEtr subsiste si l'union conjugale a duré au moins trois ans et l'intégration est réussie. Le principe de l'intégration doit permettre aux étrangers dont le séjour est légal et durable de participer à la vie économique, sociale et culturelle de la Suisse ( art. 4 al. 2 LEI ). D'après l'art. 77 al. 4 de l'ordonnance du 24 octobre 2007 relative à l'admission, au séjour et à l'exercice d'une activité lucrative (OASA; RS 142.201), un étranger s'est bien intégré, au sens de l'ancien 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anciens art. 54 al. 2 et 96 al. 1 LEtr et art. 3 OIE ; arrêt 2C_301/2018 du 24 septembre 2018 consid. 3.2 et les références).</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l'ancien 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(pour tout ce qui précède, cf. arrêts 2C_301/2018 du 24 septembre 2018 consid. 3.2 et les références; 2C_14/2014 du 27 août 2014 consid. 4.6.1, non publié in ATF 140 II 345 ).</w:t>
      </w:r>
    </w:p>
    <w:p>
      <w:r>
        <w:rPr>
          <w:b/>
        </w:rPr>
        <w:t>E. 4.2</w:t>
      </w:r>
    </w:p>
    <w:p>
      <w:r>
        <w:t>En l'occurrence, si le recourant se trouve depuis quatorze ans en Suisse, il ne faut pas perdre de vue qu'il y a vécu durant de nombreuses années dans l'illégalité. Surtout, comme l'a retenu à juste titre l'autorité précédente, durant sa présence en Suisse, le recourant a connu plusieurs périodes de chômage et n'a exercé qu'épisodiquement une activité lucrative. Il n'a en effet produit que deux certificats de travail faisant état d'une activité à temps partiel entre août 2012 et mars 2013 et d'un emploi occupé entre septembre et décembre 2015. S'il a conclu un contrat de travail le 18 janvier 2017 pour une activité dans un bar, il n'a cependant fourni aucune information complémentaire à l'autorité précédente, malgré les demandes de celle-ci. A cette faible intégration professionnelle s'ajoute une situation financière précaire. En 2018, le recourant présentait pour près de 30'000 fr. de poursuites, ainsi qu'un montant de 32'572 fr. d'actes de défaut de biens. Il a par ailleurs bénéficié de l'aide sociale à partir d'août 2010. Finalement, il convient encore de relever un dernier point déterminant excluant toute intégration suffisante. Le recourant, par son comportement délictuel ayant conduit à 17 condamnations, dont une à 30 mois de peine privative de liberté pour diverses infractions à la LStup, a en effet clairement démontré une propension à ne pas se conformer à l'ordre juridique.</w:t>
      </w:r>
    </w:p>
    <w:p>
      <w:r>
        <w:t>Les arguments du recourant ne permettent pas d'arriver à une autre conclusion. Outre qu'il affirme ne pas dépendre de l'aide sociale, ce qui est contraire aux faits retenus par l'autorité précédente liant le Tribunal fédéral ( art. 105 al. 1 LTF ), le simple fait qu'il ait la volonté de retrouver un travail et qu'il considère le montant de ses poursuites comme peu élevé, compte tenu de la durée de sa présence en Suisse, ne sont pas des éléments suffisants pour remettre en cause l'appréciation du Tribunal administratif fédéral, en particulier sur le vu de son incapacité crasse à se conformer au système juridique suisse. Les remarques qu'il fait en relation avec ses condamnations sont sans pertinence, le recourant ayant, contrairement à ce qu'il affirme, continué ses activités délictuelles malgré son mariage et la naissance de son enfant. Dans ces conditions, c'est sans violer le droit fédéral que le Tribunal administratif fédéral a nié l'existence d'une intégration suffisante. Il n'est par conséquent pas nécessaire d'examiner la durée de l'union conjugale, ces deux conditions étant cumulatives (cf. ATF 140 II 289 consid. 3.5.3 p. 295).</w:t>
      </w:r>
    </w:p>
    <w:p>
      <w:r>
        <w:rPr>
          <w:b/>
        </w:rPr>
        <w:t>E. 5.1</w:t>
      </w:r>
    </w:p>
    <w:p>
      <w:r>
        <w:t>Selon l' art. 50 al. 1 let. b LEI , après dissolution de la famille, le droit du conjoint et des enfants à l'octroi d'une autorisation de séjour et à la prolongation de sa durée de validité en vertu des art. 42 et 43 LEI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319). Dans ce cas, les conditions posées par l' art. 50 al. 1 let. b LEI ne recoupent pas nécessairement celles de l'octroi d'un titre de séjour fondé sur l' art. 8 CEDH . Le droit au respect de la vie familiale garantie par les art. 8 CEDH et 13 Cst. doit néanmoins être pris en compte dans l'application de l' art. 50 al. 1 let. b LEI dont l'application ne saurait être plus restrictive que celle des art. 8 CEDH et 13 Cst. (arrêt 2C_652/2013 du 17 décembre 2013 consid. 2.3 et les références, non publié in ATF 140 I 145 ). L'art. 17 du Pacte international du 16 décembre 1966 relatif aux droits civils et politiques (ci-après: le Pacte ONU II; RS 0.103.2) n'offre pas non plus une protection plus étendue que l' art. 8 CEDH sous cet angle (cf. ATF 139 II 404 consid. 7.1 p. 421 s.).</w:t>
      </w:r>
    </w:p>
    <w:p>
      <w:r>
        <w:rPr>
          <w:b/>
        </w:rPr>
        <w:t>E. 5.2</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w:t>
      </w:r>
    </w:p>
    <w:p>
      <w:r>
        <w:rPr>
          <w:b/>
        </w:rPr>
        <w:t>E. 5.3</w:t>
      </w:r>
    </w:p>
    <w:p>
      <w:r>
        <w:t>Dans un arrêt récent ( ATF 144 I 91 ),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w:t>
      </w:r>
    </w:p>
    <w:p>
      <w:r>
        <w:t>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p. 96 s. et les références).</w:t>
      </w:r>
    </w:p>
    <w:p>
      <w:r>
        <w:t>Selon la jurisprudence constante du Tribunal fédéral ( ATF 144 I 91 consid. 5.2 p. 97 et les références),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p. 98 et les références).</w:t>
      </w:r>
    </w:p>
    <w:p>
      <w:r>
        <w:rPr>
          <w:b/>
        </w:rPr>
        <w:t>E. 5.4</w:t>
      </w:r>
    </w:p>
    <w:p>
      <w:r>
        <w:t>Dans l'arrêt entrepris, le Tribunal administratif fédéral a laissé la question des relations affectives avec l'enfant ouverte, faute d'éléments probants suffisants à sa disposition, notamment en raison d'une collaboration relativement mauvaise de la part du recourant quant à la détermination des faits pertinents. Il a en revanche admis l'existence de relations économiques entre le recourant et son fils, ce qu'il est possible de confirmer, compte tenu du versement régulier des contributions dues en faveur de celui-ci. L'autorité précédente a cependant nié l'existence d'un comportement irréprochable.</w:t>
      </w:r>
    </w:p>
    <w:p>
      <w:r>
        <w:rPr>
          <w:b/>
        </w:rPr>
        <w:t>E. 5.4.1</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 ATF 144 I 91 consid. 5.2.4 p. 100 et les références).</w:t>
      </w:r>
    </w:p>
    <w:p>
      <w:r>
        <w:rPr>
          <w:b/>
        </w:rPr>
        <w:t>E. 5.4.2</w:t>
      </w:r>
    </w:p>
    <w:p>
      <w:r>
        <w:t>En tout premier lieu, contrairement à ce que semble penser le recourant, il ne ressort pas des faits retenus qu'il bénéficierait de la garde exclusive sur son enfant de nationalité suisse. Au contraire, il en ressort clairement que c'est la mère de cet enfant qui en bénéficie. Dans ce cas de figure, il ne saurait être question d'appliquer au recourant la jurisprudence visant à éviter de remettre en cause le séjour de l'enfant de nationalité suisse en Suisse. Ensuite, comme on l'a vu précédemment, le recourant, durant ses années de présence en Suisse, n'a cessé d'occuper les autorités pénales. Il a en effet été condamné à 17 reprises. Si toutes les condamnations n'ont pas été prononcées pour des faits d'une importante gravité, il faut malgré tout relever que le recourant a été condamné à 30 mois de peine privative de liberté pour des infractions à la LStup, c'est-à-dire des infractions envers lesquelles le Tribunal fédéral se montre particulièrement rigoureux ( ATF 139 II 121 consid. 5.3 p. 126 et les références). En outre, la répétition de ces infractions, même si certaines n'ont été sanctionnées "que" par des amendes, démontre l'incapacité du recourant à respecter l'ordre juridique et l'absence de prise de conscience dont il fait preuve. A cela s'ajoute le fait que le recourant, durant sa présence en Suisse a accumulé de nombreuses dettes, se trouvant ainsi aux poursuites pour plusieurs milliers de francs et émargeant à l'aide sociale. Tous ces éléments, pris dans leur ensemble, excluent de retenir un comportement irréprochable de la part du recourant.</w:t>
      </w:r>
    </w:p>
    <w:p>
      <w:r>
        <w:rPr>
          <w:b/>
        </w:rPr>
        <w:t>E. 5.5</w:t>
      </w:r>
    </w:p>
    <w:p>
      <w:r>
        <w:t>Aux éléments qui précèdent et qui ont trait au comportement du recourant, il convient encore d'ajouter que, si le recourant se trouve depuis 2005 en Suisse, il y a passé une grande partie dans l'illégalité et a à plusieurs reprises refusé de se conformer aux décisions de renvoi ordonnées à son encontre. Par ailleurs, ni son mariage, ni la naissance de son enfant n'ont empêché le recourant de maintenir une fréquence élevée d'infractions, celui-ci ayant été condamné à neuf reprises après la naissance de son fils, respectivement sept reprises après son mariage. Il est donc malvenu d'affirmer que la naissance de son fils l'a fait changer drastiquement de comportement. De plus, déjà lors du mariage et de la conception de l'enfant, les époux ne pouvaient ignorer que la situation du recourant en Suisse était précaire. Finalement, même si un retour en Algérie ne sera probablement pas aisé pour le recourant, celui-ci y a cependant vécu durant la majeure partie de sa vie et en parle encore la langue, ce qui facilitera sa réintégration. Il pourra en outre compter sur les membres de sa famille qui s'y trouvent et profiter des expériences professionnelles acquises en Suisse. L'intérêt public à l'éloignement du recourant de Suisse l'emporte donc sur celui de ce dernier à rester dans ce pays pour exercer son droit de visite. Il lui appartiendra d'aménager d'autres moyens pour exercer ce droit et maintenir des contacts avec son fils, comme par exemple accueillir cet enfant dans son pays d'origine lors de vacances ou le contacter par téléphone ou Internet.</w:t>
      </w:r>
    </w:p>
    <w:p>
      <w:r>
        <w:rPr>
          <w:b/>
        </w:rPr>
        <w:t>E. 6</w:t>
      </w:r>
    </w:p>
    <w:p>
      <w:r>
        <w:t>Sur le vu des considérants qui précèdent, le recours en matière de droit public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