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1015/2014 vom 6. August 2015</w:t>
      </w:r>
    </w:p>
    <w:p>
      <w:r>
        <w:t>Bundesgericht, 2015-08-06, DE</w:t>
      </w:r>
    </w:p>
    <w:p>
      <w:r>
        <w:rPr>
          <w:b/>
        </w:rPr>
        <w:t xml:space="preserve">Quelle: </w:t>
      </w:r>
      <w:r>
        <w:t>https://mcp.opencaselaw.ch/entscheid/bger_2C_1015_2014</w:t>
      </w:r>
    </w:p>
    <w:p>
      <w:r>
        <w:t>FR: TF 2C 1015/2014 du 6 août 2015</w:t>
      </w:r>
    </w:p>
    <w:p>
      <w:r>
        <w:t>IT: TF 2C 1015/2014 del 6 agosto 2015</w:t>
      </w:r>
    </w:p>
    <w:p>
      <w:pPr>
        <w:pStyle w:val="Heading2"/>
      </w:pPr>
      <w:r>
        <w:t>Regeste</w:t>
      </w:r>
    </w:p>
    <w:p>
      <w:r>
        <w:t>Nichtverlängerung der Aufenthaltsbewilligung | Bürgerrecht und Ausländerrecht</w:t>
      </w:r>
    </w:p>
    <w:p>
      <w:pPr>
        <w:pStyle w:val="Heading2"/>
      </w:pPr>
      <w:r>
        <w:t>Erwägungen</w:t>
      </w:r>
    </w:p>
    <w:p>
      <w:r>
        <w:rPr>
          <w:b/>
        </w:rPr>
        <w:t>E. 1.1</w:t>
      </w:r>
    </w:p>
    <w:p>
      <w:r>
        <w:t>Angefochten ist ein kantonal letztinstanzlicher Endentscheid in einer Angelegenheit des öffentlichen Rechts, der grundsätzlich der Beschwerde in öffentlich-rechtlichen Angelegenheiten unterliegt (vgl. Art. 82 lit. a, Art. 86 Abs. 1 lit. d und Abs. 2 sowie Art. 90 BGG ).</w:t>
      </w:r>
    </w:p>
    <w:p>
      <w:r>
        <w:rPr>
          <w:b/>
        </w:rPr>
        <w:t>E. 1.2</w:t>
      </w:r>
    </w:p>
    <w:p>
      <w:r>
        <w:t>Auf dem Gebiet des Ausländerrechts ist die Beschwerde in öffentlich-rechtlichen Angelegenheiten gegen Entscheide ausgeschlossen, welche Bewilligungen betreffen, auf die weder das Bundesrecht noch das Völkerrecht einen Anspruch einräumt ( Art. 83 lit. c Ziff. 2 BGG ). Für das Eintreten genügt, wenn die betroffene Person in vertretbarer Weise dartut, dass potenziell ein solcher Anspruch besteht ( BGE 139 I 330 E. 1.1 S. 332 mit Hinweisen). Zur Begründung seines Anspruchs beruft sich der Beschwerdeführer in erster Linie auf die Beziehung zu seinen hier anwesenheitsberechtigten Kindern und macht einen Aufenthaltsanspruch nach Art. 8 EMRK geltend. In einem solchen Fall steht der Weg zur Beschwerde in öffentlich-rechtlichen Angelegenheiten nur offen, wenn das Kind zum Zeitpunkt, da das Bundesgericht entscheidet, noch nicht volljährig ist ( BGE 136 II 497 E. 3.2 S. 500; Urteil 2D_58/2014 vom 15. August 2014 E. 2.1 mit Hinweisen). Der Sohn des Beschwerdeführers hat am 3. Juli 2015 sein 18. Lebensjahr vollendet und ist seither volljährig. Der Beschwerdeführer kann somit aus der Beziehung zu seinem Sohn keinen Anspruch mehr aus Art. 8 EMRK ableiten. Hingegen ist nicht von vornherein auszuschliessen, dass ihm aufgrund der Beziehung zu seiner 12-jährigen Tochter ein Bewilligungsanspruch zusteht. Dies reicht für das Eintreten aus. Ob die Bewilligungsvoraussetzungen tatsächlich gegeben sind, bildet praxisgemäss Gegenstand der materiellen Beurteilung ( BGE 139 I 330 E. 1.1 S. 332; 136 II 177 E. 1.1 S. 179 f.; Urteil 2C_714/2014 vom 15. Mai 2015 E. 1 mit Hinweisen). Folglich ist die Beschwerde in öffentlich-rechtlichen Angelegenheiten in Bezug auf die Nichtverlängerung der Aufenthaltsbewilligung zulässig. In diesem Punkt steht somit die vom Beschwerdeführer in der gleichen Rechtsschrift erhobene subsidiäre Verfassungsbeschwerde nicht offen ( Art. 113 BGG ). Da der Beschwerdeführer als Adressat des angefochtenen Entscheids gemäss Art. 89 Abs. 1 BGG zur Erhebung der Beschwerde in öffentlich-rechtlichen Angelegenheiten legitimiert ist und die Beschwerde frist- und formgerecht eingereicht wurde (vgl. Art. 42 und 100 Abs. 1 BGG ), ist darauf einzutreten.</w:t>
      </w:r>
    </w:p>
    <w:p>
      <w:r>
        <w:rPr>
          <w:b/>
        </w:rPr>
        <w:t>E. 1.3</w:t>
      </w:r>
    </w:p>
    <w:p>
      <w:r>
        <w:t>Der Beschwerdeführer führt zutreffend aus, dass mit Bezug auf die Wegweisung die Beschwerde in öffentlich-rechtlichen Angelegenheiten ausgeschlossen ist ( Art. 83 lit. c Ziff. 4 BGG ). In diesem Fall steht einzig die subsidiäre Verfassungsbeschwerde offen, soweit sich der Beschwerdeführer auf besondere verfassungsmässige Rechte berufen kann, die ihm unmittelbar ein rechtlich geschütztes Interesse im Sinne von Art. 115 lit. b BGG verschaffen. Zu denken ist dabei etwa an das Recht auf Leben gemäss Art. 10 Abs. 1 BV oder das in Art. 25 Abs. 3 BV verankerte Non-Refoulement-Gebot (vgl. BGE 137 II 305 E. 3.3 S. 310), wobei die entsprechenden Rügen rechtsgenüglich begründet werden müssen (Art. 116 i.V.m. Art. 106 Abs. 2 BGG ). Der Beschwerdeführer beruft sich auf keines dieser Grundrechte; er begründet auch nicht, weshalb und inwiefern ein solches durch den angefochtenen Entscheid verletzt würde. Auf die subsidiäre Verfassungsbeschwerde ist deshalb nicht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42 Abs. 2 und Art. 106 Abs. 2 BGG ; vgl. BGE 140 III 264 E. 2.3 S. 266 mit Hinweisen). Soweit der Beschwerdeführer im bundesgerichtlichen Verfahren Sachverhaltselemente vorbringt, ohne darzulegen, dass und inwiefern die oben genannten Voraussetzungen erfüllt sind, kann darauf nicht eingetreten werden (vgl. BGE 140 III 264 E. 2.3 S. 266).</w:t>
      </w:r>
    </w:p>
    <w:p>
      <w:r>
        <w:rPr>
          <w:b/>
        </w:rPr>
        <w:t>E. 3</w:t>
      </w:r>
    </w:p>
    <w:p>
      <w:r>
        <w:t>Mit Schreiben vom 24. April 2015 hat das Migrationsamt des Kantons Thurgau weitere Unterlagen zum Beschwerdeführer eingereicht, aus denen namentlich hervorgeht, dass der Beschwerdeführer - entgegen seinen Angaben - seit November 2013 nicht mehr erwerbstätig sei und seit 1. Dezember 2014 Sozialhilfe beziehe. Inwiefern diese Unterlagen mit Blick auf Art. 99 Abs. 1 BGG berücksichtigt werden können, kann vorliegend offen bleiben, da sie am Ausgang des Verfahrens ohnehin nichts ändern.</w:t>
      </w:r>
    </w:p>
    <w:p>
      <w:r>
        <w:rPr>
          <w:b/>
        </w:rPr>
        <w:t>E. 4.1</w:t>
      </w:r>
    </w:p>
    <w:p>
      <w:r>
        <w:t>Gemäss Art. 33 Abs. 3 AuG (SR 142.20) kann eine Aufenthaltsbewilligung verlängert werden, wenn keine Widerrufsgründe nach Art. 62 AuG vorliegen. Die Vorinstanz hat deshalb die gerügte Nichtverlängerung der Aufenthaltsbewilligung zu Recht unter dem Aspekt von Art. 62 AuG geprüft. Aufgrund der strafrechtlichen Verfehlungen des Beschwerdeführers sowie der ausgewiesenen Schulden hielt das Verwaltungsgericht namentlich den in Art. 62 lit. c AuG genannten Widerrufsgrund für gegeben. Gemäss dieser Bestimmung kann die Aufenthaltsbewilligung widerrufen werden, wenn der Ausländer erheblich oder wiederholt gegen die öffentliche Sicherheit und Ordnung in der Schweiz oder im Ausland verstossen hat oder diese gefährdet. Art. 80 Abs. 1 der Verordnung vom 24. Oktober 2007 über Zulassung, Aufenthalt und Erwerbstätigkeit (VZAE; SR 142.201) konkretisiert diese Bestimmung und zählt in nicht abschliessender Weise Handlungen auf, die einen Verstoss gegen die öffentliche Sicherheit und Ordnung darstellen. Dies ist u.a. der Fall bei einer Missachtung von gesetzlichen Vorschriften und behördlichen Verfügungen (lit. a) und bei mutwilliger Nichterfüllung der öffentlich-rechtlichen oder privatrechtlichen Verpflichtungen (lit. b). Selbst bei Vorliegen von Widerrufsgründen muss der Widerruf bzw. die Nichtverlängerung im konkreten Fall jedoch verhältnismässig sein, wobei namentlich die Schwere des Verschuldens, der Grad der Integration bzw. die Dauer der bisherigen Anwesenheit sowie die dem Betroffenen und seiner Familie drohenden Nachteile zu berücksichtigen sind (vgl. Art. 96 AuG; BGE 135 II 377 E. 4.3 S. 381 f.).</w:t>
      </w:r>
    </w:p>
    <w:p>
      <w:r>
        <w:rPr>
          <w:b/>
        </w:rPr>
        <w:t>E. 4.2</w:t>
      </w:r>
    </w:p>
    <w:p>
      <w:r>
        <w:t>Den - unbestrittenen - vorinstanzlichen Sachverhaltsfeststellungen zufolge lagen im Februar 2014 gegen den Beschwerdeführer 63 Betreibungen im Gesamtbetrag von Fr. 133'668.20 sowie 42 Verlustscheine in gesamter Höhe von Fr. 86'529.50 vor. Da der Beschwerdeführer seinen Unterhaltspflichten nicht nachgekommen ist, musste die Gemeinde Alimente im Betrag von über Fr. 44'000.-- bevorschussen (Stand Februar 2014). Weder Ermahnungen noch formelle Verwarnungen durch das Migrationsamt haben den Beschwerdeführer davon abgehalten, weitere Schulden anzuhäufen. Ähnlich verhält es sich mit seinem strafrechtlich relevanten Verhalten: Zwar handelte es sich dabei grösstenteils um untergeordnete Verfehlungen, doch demonstriert deren Häufung eine nicht unerhebliche Gleichgültigkeit des Beschwerdeführers gegenüber der hiesigen Rechtsordnung. Insgesamt vermittelt sein Verhalten den Eindruck, dass er nicht willens oder fähig ist, sich gesetzeskonform zu verhalten und in die hiesigen wirtschaftlichen und sozialen Verhältnisse zu integrieren, auch wenn er sich inzwischen seit über 20 Jahren im Land aufhält. Die kantonalen Behörden haben ihm wiederholt die Chance gegeben, sich zu bewähren; diese hat er jedoch nicht genutzt. Der Beschwerdeführer versucht im Wesentlichen, seine Verfehlungen zu bagatellisieren. Er behauptet, er habe viele der marginalen Verfehlungen im Alter eines jungen Erwachsenen gesetzt. Dies trifft jedoch nicht zu. Allein im Jahr 2013 wurde der Beschwerdeführer vier Mal straffällig. Zu diesem Zeitpunkt war er bereits 37 Jahre alt und somit nicht mehr im jungen Erwachsenenalter. Dass - wie der Beschwerdeführer vorbringt - familiäre Spannungen bzw. die Ernennung eines Beistandes für die Kinder für den Beschwerdeführer belastend gewesen seien, mag zutreffen. Jedoch vermögen diese Umstände seine sich über mehr als zehn Jahre erstreckende Schuldenwirtschaft bzw. seine strafrechtlichen Verfehlungen nicht zu rechtfertigen. Das Verwaltungsgericht durfte daher annehmen, der Widerrufsgrund von Art. 62 lit. c AuG sei hinsichtlich des Beschwerdeführers gegeben. Offen bleiben kann damit, ob der Widerrufsgrund von Art. 62 lit. e AuG ebenfalls erfüllt ist, wie dies die Vorinstanz annimmt.</w:t>
      </w:r>
    </w:p>
    <w:p>
      <w:r>
        <w:rPr>
          <w:b/>
        </w:rPr>
        <w:t>E. 5</w:t>
      </w:r>
    </w:p>
    <w:p>
      <w:r>
        <w:t>Der Beschwerdeführer rügt im Wesentlichen, die Nichtverlängerung seiner Aufenthaltsbewilligung sei unverhältnismässig und verletze Art. 8 EMRK , da eine Wegweisung die Trennung von seinen Kindern zur Folge hätte.</w:t>
      </w:r>
    </w:p>
    <w:p>
      <w:r>
        <w:rPr>
          <w:b/>
        </w:rPr>
        <w:t>E. 5.1</w:t>
      </w:r>
    </w:p>
    <w:p>
      <w:r>
        <w:t>Es kann das in Art. 8 EMRK (bzw. Art. 13 BV ) geschützte Recht auf Achtung des Privat- und Familienlebens verletzen, wenn einem Ausländer, dessen Familienangehörige hier weilen, die Anwesenheit untersagt und damit das Familienleben vereitelt wird ( BGE 135 I 143 E. 1.3.1 S. 145, 153 E. 2.1 S. 154 f.). Der in Art. 8 Ziff. 1 EMRK garantierte Anspruch gilt jedoch nicht absolut. Vielmehr ist nach Art. 8 Ziff. 2 EMRK ein Eingriff in das durch Ziff.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Die Konvention verlangt insofern eine Abwägung der sich gegenüberstehenden privaten Interessen an der Bewilligungserteilung und den öffentlichen Interessen an deren Verweigerung, wobei Letztere in dem Sinne überwiegen müssen, dass sich der Eingriff als notwendig erweist ( BGE 139 I 145 E. 2.2 S. 147 f. ; 135 I 153 E. 2.2.1 S. 156 ; 135 I 143 E. 2.1 S. 147; 122 II 1 E. 2 S. 6 mit Hinweisen).</w:t>
      </w:r>
    </w:p>
    <w:p>
      <w:r>
        <w:rPr>
          <w:b/>
        </w:rPr>
        <w:t>E. 5.2</w:t>
      </w:r>
    </w:p>
    <w:p>
      <w:r>
        <w:t>Der Beschwerdeführer hat einen inzwischen volljährigen Sohn und eine noch minderjährige Tochter in der Schweiz, welche unter der elterlichen Sorge und Obhut der Mutter steht. Nur die Beziehung des Beschwerdeführers zu seiner minderjährigen Tochter fällt in den Schutzbereich von Art. 8 EMRK , da weder dargetan noch ersichtlich ist, dass zwischen dem Beschwerdeführer und seinem erwachsenen Sohn ein besonderes Abhängigkeitsverhältnis bestünde (vgl. BGE 139 II 393 E. 5.1 S. 402 ; 135 I 143 E. 3.1 S. 148; 129 II 11 E. 2 S. 13 f.; 120 Ib 257 E. 1d S. 260 f.). Gemäss Entscheid des Bezirksgerichts Kreuzlingen vom 10. April 2013 steht dem Vater das Recht zu, seine Tochter jedes erste und dritte Wochenende eines Monats von Samstag, 18 Uhr, bis Sonntag, 19 Uhr, zu sich zu nehmen und mit ihr zwei Wochen Ferien pro Jahr zu verbringen.</w:t>
      </w:r>
    </w:p>
    <w:p>
      <w:r>
        <w:rPr>
          <w:b/>
        </w:rPr>
        <w:t>E. 5.3</w:t>
      </w:r>
    </w:p>
    <w:p>
      <w:r>
        <w:t>Nach konstanter bundesgerichtlicher Praxis kann der nicht sorge- bzw. obhutsberechtigte ausländische Elternteil den Kontakt zu seinem Kind von vornherein nur in beschränktem Rahmen pflegen, nämlich durch die Ausübung des ihm eingeräumten Besuchsrechts. Um dieses wahrnehmen zu können, ist in der Regel keine dauernde Anwesenheit im Gastland erforderlich. Unter dem Gesichtspunkt des Anspruchs auf Familienleben nach Art. 8 Ziff. 1 EMRK ist es grundsätzlich ausreichend, wenn das Besuchsrecht im Rahmen von Kurzaufenthalten vom Ausland aus ausgeübt werden kann, wobei allenfalls die Modalitäten des Besuchsrechts entsprechend auszugestalten sind. Ein weitergehender Anspruch kann nur in Betracht fallen, wenn in wirtschaftlicher und affektiver Hinsicht eine besonders enge Beziehung zum Kind besteht, diese Beziehung wegen der Distanz zum Herkunftsland der ausländischen Person praktisch nicht aufrechterhalten werden könnte und deren bisheriges Verhalten in der Schweiz zu keinerlei Klagen Anlass gegeben hat (sog. "tadelloses Verhalten"; zum Ganzen vgl. BGE 139 I 315 E. 2.2 S. 319 mit Hinweisen; 120 Ib 1 E. 3c S. 5; 120 Ib 22 E. 4 S. 24 ff.).</w:t>
      </w:r>
    </w:p>
    <w:p>
      <w:r>
        <w:rPr>
          <w:b/>
        </w:rPr>
        <w:t>E. 5.4</w:t>
      </w:r>
    </w:p>
    <w:p>
      <w:r>
        <w:t>Das Verwaltungsgericht geht nicht von einer besonders engen affektiven Beziehung zwischen dem Beschwerdeführer und seiner Tochter aus und hegt Zweifel daran, dass der Beschwerdeführer sein Besuchsrecht tatsächlich kontinuierlich und reibungslos ausübe. Der Beschwerdeführer bestreitet diese Feststellungen und behauptet, er pflege zu seiner Tochter eine intakte Beziehung. Er legt jedoch in keiner Weise dar, wann, wie oft oder in welcher Form er den Kontakt zu seiner Tochter pflege. Dem von der Vorinstanz zitierten Amtsbericht des gesetzlichen Betreuungsdienstes vom 4. Dezember 2013 lässt sich entnehmen, dass die Beziehung zwischen Vater und Tochter recht oberflächlich sei und sich der Beschwerdeführer nicht gross um die Belange seiner Tochter kümmere. Ferner geht aus den Akten hervor, dass sich der Beschwerdeführer - entgegen seinen Behauptungen - in den letzten Jahren offensichtlich wiederholt mehrere Wochen bzw. Monate allein in seinem Heimatland aufgehalten hat (vgl. Rückreisevisumsgesuche vom 12. Juli 2013, vom 3. Januar 2012, vom 28. Juli 2011, vom 21. April 2011, vom 30. Juli 2010). Ob unter diesen Umständen von einem besonders engen affektiven Verhältnis zwischen Vater und Tochter gesprochen werden kann, ist fraglich, muss aber nicht abschliessend geklärt werden, da weder eine enge wirtschaftliche Beziehung besteht noch die Voraussetzung des tadellosen Verhaltens gegeben ist. Eine enge wirtschaftliche Beziehung zwischen Vater und Tochter ist auszuschliessen, da der Beschwerdeführer - wie er selbst einräumt - seinen Unterhaltspflichten nicht nachgekommen ist und die Alimente für die Tochter von der Gemeinde bevorschusst werden mussten. Schliesslich kann angesichts der Schuldenwirtschaft des Beschwerdeführers und seiner (wenn auch geringfügigen) strafrechtlichen Verfehlungen nicht von einem "tadellosen Verhalten" im Sinne der zitierten Rechtsprechung gesprochen werden (vgl. Urteil 2C_385/2014 vom 19. Januar 2015 E. 5.2.2 mit Hinweisen). Zudem ist fraglich, ob der Beschwerdeführer überhaupt gewillt ist, seine finanzielle Situation zu sanieren bzw. sich in Zukunft an die Rechtsordnung zu halten, da ihn selbst die wiederholte Androhung ausländerrechtlicher Massnahmen unbeeindruckt liess. In Anbetracht dieser Umstände ist es dem Beschwerdeführer zumutbar, sein Besuchsrecht im Rahmen von Kurzaufenthalten vom Ausland her auszuüben, wobei allenfalls die Modalitäten des Besuchsrechts geeignet aus- bzw. umzugestalten sind. Im Übrigen können die familiären Beziehungen nicht nur besuchsweise, sondern auch vom Ausland aus über Briefverkehr, Telefonate, E-Mail oder Internet (Skype etc.) gepflegt werden.</w:t>
      </w:r>
    </w:p>
    <w:p>
      <w:r>
        <w:rPr>
          <w:b/>
        </w:rPr>
        <w:t>E. 5.5</w:t>
      </w:r>
    </w:p>
    <w:p>
      <w:r>
        <w:t>Soweit der Beschwerdeführer geltend macht, in Ausgangslagen, welche mit der vorliegenden vergleichbar sind, habe das Bundesgericht den Widerruf einer Niederlassungsbewilligung als unverhältnismässig bezeichnet, bzw. nur äusserst schwerwiegende Gründe würden die Wegweisung von niedergelassenen Migranten rechtfertigen, verkennt er, dass im vorliegenden Fall gerade nicht der Widerruf einer Niederlassungsbewilligung zur Diskussion steht. Der Beschwerdeführer war lediglich im Besitze einer Aufenthaltsbewilligung, deren Widerruf bzw. Nichtverlängerung weniger strengen Voraussetzungen unterworfen ist.</w:t>
      </w:r>
    </w:p>
    <w:p>
      <w:r>
        <w:rPr>
          <w:b/>
        </w:rPr>
        <w:t>E. 5.6</w:t>
      </w:r>
    </w:p>
    <w:p>
      <w:r>
        <w:t>Soweit der Beschwerdeführer aus seiner langjährigen Anwesenheit einen Anspruch auf Erteilung einer Aufenthaltsbewilligung abzuleiten versucht, dringt er nicht durch. Unter besonderen Umständen kann sich aus dem in Art. 8 Abs. 1 EMRK verankerten Anspruch auf Schutz des Privatlebens ein Recht auf Verbleib im Land ergeben (Urteil 2C_838/2013 vom 23. September 2013 E. 2.2.3; vgl. auch Urteile des EGMR Vasquez gegen Schweiz vom 26. November 2013 [1785/08] § 37 sowie Gezginci gegen Schweiz vom 9. Dezember 2010 [16327/05] § 56 ff.). Eine lange Anwesenheit und die damit verbundene normale Integration genügen hierzu jedoch nicht. Nach der Rechtsprechung erfordert dies besonders intensive, über eine normale Integration hinausgehende private Bindungen gesellschaftlicher oder beruflicher Natur bzw. entsprechende vertiefte soziale Beziehungen zum ausserfamiliären Bereich ( BGE 130 II 281 E. 3.2.1 S. 286; Urteile 2C_654/2013 vom 12. Februar 2014 E. 2.1 und 2C_426/2010 vom 16. Dezember 2010 E. 3.1). Zwar lebte der Beschwerdeführer zum Zeitpunkt des angefochtenen Urteils schon seit rund 23 Jahren in der Schweiz. Er hat Mazedonien jedoch erst mit 15 Jahren verlassen und somit seine Kindheit und einen Teil seiner Jugend in seinem Heimatland verbracht, mit dessen Sprache und Kultur er nach wie vor bestens vertraut und in welches er regelmässig zurückgekehrt ist. Eine überdurchschnittliche Integration in der Schweiz ist nicht erkennbar. Zwar ging der Beschwerdeführer verschiedenen Erwerbstätigkeiten nach; von einer beruflichen Verankerung kann jedoch angesichts der häufigen Stellenwechsel bzw. -verluste nicht gesprochen werden. Welche sonstigen engen sozialen Beziehungen der Beschwerdeführer konkret zur Schweiz geknüpft haben soll, ist weder ersichtlich noch dargetan.</w:t>
      </w:r>
    </w:p>
    <w:p>
      <w:r>
        <w:rPr>
          <w:b/>
        </w:rPr>
        <w:t>E. 6</w:t>
      </w:r>
    </w:p>
    <w:p>
      <w:r>
        <w:t>Nach dem Gesagten erweist sich das angefochtene Urteil als bundesrechts- und konventionskonform, was zur Abweisung der Beschwerde führt. Diesem Ausgang entsprechend hat der Beschwerdeführer die Kosten des bundesgerichtlichen Verfahrens zu tragen ( Art. 66 Abs. 1, Art. 65 BGG ). Parteientschädigungen werden nicht zugesprochen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