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2C_1013/2013 vom 17. April 2014</w:t>
      </w:r>
    </w:p>
    <w:p>
      <w:r>
        <w:t>Bundesgericht, 2014-04-17, FR</w:t>
      </w:r>
    </w:p>
    <w:p>
      <w:r>
        <w:rPr>
          <w:b/>
        </w:rPr>
        <w:t xml:space="preserve">Quelle: </w:t>
      </w:r>
      <w:r>
        <w:t>https://mcp.opencaselaw.ch/entscheid/bger_2C_1013_2013</w:t>
      </w:r>
    </w:p>
    <w:p>
      <w:r>
        <w:t>FR: TF 2C_1013/2013 du 17 avril 2014</w:t>
      </w:r>
    </w:p>
    <w:p>
      <w:r>
        <w:t>IT: TF 2C_1013/2013 del 17 aprile 2014</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Selon l'art. 43 al. 1 LEtr,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En l'occurrence, la mère des enfants est titulaire d'une autorisation d'établissement et ses enfants étaient mineurs au moment déterminant où les requêtes de regroupement familial les concernant, soit le 6 août 2010, ont été déposées (cf. ATF 136 II 497 consid. 3.2 p. 500). La voie du recours en matière de droit public est par conséquent ouverte sous cet angle, le point de savoir si les recourants peuvent obtenir un titre de séjour sur la base de cette disposition relevant du fond et non de la recevabilité.</w:t>
      </w:r>
    </w:p>
    <w:p>
      <w:r>
        <w:rPr>
          <w:b/>
        </w:rPr>
        <w:t>E. 1.2</w:t>
      </w:r>
    </w:p>
    <w:p>
      <w:r>
        <w:t>Pour le surplus, le recours est dirigé contre une décision finale ( art. 90 LTF ) rendue par le Tribunal administratif fédéral ( art. 86 al. 1 let. a LTF ), a été déposé en temps utile ( art. 100 al. 1 LTF ) et dans les formes requises ( art. 42 LTF ). Le recours en matière de droit public est par conséquent recevable.</w:t>
      </w:r>
    </w:p>
    <w:p>
      <w:r>
        <w:rPr>
          <w:b/>
        </w:rPr>
        <w:t>E. 2.1</w:t>
      </w:r>
    </w:p>
    <w:p>
      <w:r>
        <w:t>La loi sur les étrangers a introduit des délais pour requérir le regroupement familial. Selon l'art. 47 al. 1 LEtr, il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43 LEtr s'éteignent lorsqu'ils sont invoqués abusivement, notamment pour éluder les dispositions de la loi sur les étrangers ou ses dispositions d'exécution (art. 51 al. 2 LEtr) ou s'il existe des motifs de révocation au sens de l'art. 62 LEtr.</w:t>
      </w:r>
    </w:p>
    <w:p>
      <w:r>
        <w:rPr>
          <w:b/>
        </w:rPr>
        <w:t>E. 2.2</w:t>
      </w:r>
    </w:p>
    <w:p>
      <w:r>
        <w:t>En l'espèce, il n'est pas contesté que le délai de douze mois prévu par l'art. 47 al. 1 LEtr qui, en vertu de la disposition transitoire de l'art. 126 al. 3 LEtr, a commencé à courir le 1er janvier 2008, était échu lors de la demande de regroupement familial du 6 août 2010. Le regroupement sollicité ne peut donc être autorisé que pour des raisons familiales majeures au sens de l'art. 47 al. 4 LEtr. Pour le surplus, le dossier ne contient aucun élément permettant de retenir l'existence d'une cause de révocation au sens de l'art. 62 LEtr. En outre, l'autorité précédente a retenu que la demande de regroupement familial n'avait pas été formée abusivement, en ce sens qu'il serait permis de douter de la volonté réelle de A.________ et de ses enfants de reconstituer une unité familiale (cf. arrêt entrepris, consid. 6.2.1 p. 12). C'est donc en contradiction avec cette affirmation que le Tribunal administratif fédéral laisse entendre, au consid. 6.3.6 de l'arrêt attaqué, que la demande de regroupement familial pourrait avoir pour but de permettre aux enfants de trouver en Suisse de meilleures conditions socio-professionnelles et non pas uniquement d'être réunis avec leur mère.</w:t>
      </w:r>
    </w:p>
    <w:p>
      <w:r>
        <w:rPr>
          <w:b/>
        </w:rPr>
        <w:t>E. 3.1</w:t>
      </w:r>
    </w:p>
    <w:p>
      <w:r>
        <w:t>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 C'est l'intérêt de l'enfant et non les intérêts économiques (prise d'une activité lucrative en Suisse) qui prime (Message concernant la loi sur les étrangers, FF 2002 3549). Selon la jurisprudence rendue sous l'empire de la LEtr au sujet des conditions applicables au regroupement familial partiel, le nouveau droit ne permet plus de justifier l'application des conditions restrictives posées en application de la loi fédérale du 26 mars 1931 sur le séjour et l'établissement des étrangers (LSEE) en cas de regroupement familial partiel si celui-ci est demandé dans les délais de l'art. 47 al. 1 LEtr. En revanche, ces conditions pourraient jouer un rôle en relation avec les " raisons familiales majeures " au sens de l'art. 47 al. 4 LEtr, laissant ainsi subsister, dans ce cas, les principes développés sous l'ancien droit.</w:t>
      </w:r>
    </w:p>
    <w:p>
      <w:r>
        <w:t>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 ATF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 art. 3 par. 1 CDE . Enfin, les raisons familiales majeures pour le regroupement familial ultérieur doivent être interprétées d'une manière conforme au droit fondamental au respect de la vie familiale ( art. 13 Cst. et 8 CEDH).</w:t>
      </w:r>
    </w:p>
    <w:p>
      <w:r>
        <w:t>S'agissant de l'intérêt supérieur de l'enfant, le Tribunal fédéral a jugé que la Convention relative aux droits de l'enfant requerrait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qu'il était très délicat de déterminer l'intérêt de l'enfant, mais que les autorités ne devaient pas perdre de vue qu'il appartenait en priorité aux parents de décider du lieu de séjour de leur enfant, en prenant en considération l'intérêt de celui-ci. En raison de l'écart de niveau de vie par rapport au pays d'origine, il était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 ATF 136 II 78 consid. 4.8 p. 87 s.).</w:t>
      </w:r>
    </w:p>
    <w:p>
      <w:r>
        <w:rPr>
          <w:b/>
        </w:rPr>
        <w:t>E. 3.2</w:t>
      </w:r>
    </w:p>
    <w:p>
      <w:r>
        <w:t>Dans le cas particulier, le Tribunal administratif fédéral a retenu que le droit au regroupement familial sollicité n'était pas invoqué abusivement, que A.________ disposait dorénavant du droit de garde sur ses enfants aînés, que les relations qui l'unissaient à ceux-ci étaient effectives, malgré l'éloignement, et que l'on ne pouvait pas retenir l'existence d'éléments révélant la présence d'un cas de révocation au sens de l'art. 62 LEtr (cf. consid. 6.2.1 de l'arrêt entrepris). L'autorité précédente a cependant rejeté la demande de regroupement familial aux motifs qu'il n'était pas dans l'intérêt des enfants de quitter le pays où ils avaient toujours vécu, qu'ils rencontreraient des difficultés d'adaptation en Suisse, compte tenu notamment de leur âge, et que le maintien de la garde confiée à leur oncle maternel devait être privilégié à titre de solution alternative existant sur place.</w:t>
      </w:r>
    </w:p>
    <w:p>
      <w:r>
        <w:rPr>
          <w:b/>
        </w:rPr>
        <w:t>E. 3.3</w:t>
      </w:r>
    </w:p>
    <w:p>
      <w:r>
        <w:t>Ce raisonnement n'emporte pas conviction. Sans minimiser les difficultés d'intégration que les enfants pourraient connaître - au demeurant inhérentes à tout regroupement familial - il faut relever que leur mère, venue en Suisse à l'âge de vingt-sept ans, a parfaitement su s'adapter au mode de vie helvétique et qu'elle serait en mesure de favoriser l'intégration de ses enfants. En outre, le frère cadet des intéressés, aujourd'hui âgé de quatorze ans, pourrait assurément apporter son concours. La situation prévalant actuellement au Vietnam, au plan de la garde des enfants, n'a pas été choisie initialement, soit lors du départ de leur mère, mais à titre provisoire, en raison de la détérioration des conditions de vie des enfants auprès de leur tante maternelle. Aucun élément du dossier ne permet de penser que ce second choix, dicté par les circonstances, représenterait la solution idéale pour les enfants. Au contraire, même le père de ceux-ci, en acceptant le transfert de l'autorité parentale et la garde des enfants à A.________, a admis, à tout le moins implicitement, qu'il était dans l'intérêt de ses enfants de rejoindre leur mère, plutôt que de maintenir leur lieu de séjour auprès de leur oncle maternel. Les enfants n'ont jamais vécu auprès de leur père, qui ne s'en est pas occupé personnellement. Ils ont maintenant la possibilité de rejoindre leur mère, avec laquelle ils ont gardé des contacts étroits et qui a pris toutes les dispositions pour les accueillir dans de bonnes conditions. Un départ pour la Suisse leur permettrait en outre de retrouver leur frère cadet, dont ils ont été séparés depuis une dizaine d'années. La réunion de la fratrie est souhaitée par l'ensemble de la famille, soit les parents et les trois enfants. Il faut dès lors admettre que la décision des parents correspond bien à l'intérêt supérieur des enfants. A cet égard, l'autorité précédente n'a pas établi, conformément aux exigences jurisprudentielles en la matière (cf. consid. 3.1 ci-dessus), que ce choix serait manifestement contraire à cet intérêt. C'est donc à tort que le Tribunal administratif fédéral a refusé le regroupement familial sollicité.</w:t>
      </w:r>
    </w:p>
    <w:p>
      <w:r>
        <w:rPr>
          <w:b/>
        </w:rPr>
        <w:t>E. 4</w:t>
      </w:r>
    </w:p>
    <w:p>
      <w:r>
        <w:t>Vu ce qui précède, le recours doit être admis, l'arrêt attaqué annulé et la cause renvoyée à l'Office fédéral des migrations pour qu'il approuve les autorisations d'entrée et les autorisations de séjour sollicitées par les recourants.</w:t>
      </w:r>
    </w:p>
    <w:p>
      <w:r>
        <w:t>Il n'y a pas lieu de percevoir de frais judiciaires ( art. 66 al. 1 et 4 LTF ). Succombant, l'Office fédéral des migrations versera aux recourants une indemnité à titre de dépens ( art. 68 al. 1 LTF ).</w:t>
      </w:r>
    </w:p>
    <w:p>
      <w:r>
        <w:t>Le Tribunal fédéral ne fera pas usage de la faculté prévue aux art. 67 et 68 al. 5 LTF et renverra la cause à l'autorité précédente pour qu'elle statue sur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