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2C_1012/2019 vom 6. Dezember 2019</w:t>
      </w:r>
    </w:p>
    <w:p>
      <w:r>
        <w:t>Bundesgericht, 2019-12-06, IT</w:t>
      </w:r>
    </w:p>
    <w:p>
      <w:r>
        <w:rPr>
          <w:b/>
        </w:rPr>
        <w:t xml:space="preserve">Quelle: </w:t>
      </w:r>
      <w:r>
        <w:t>https://mcp.opencaselaw.ch/entscheid/bger_2C_1012_2019</w:t>
      </w:r>
    </w:p>
    <w:p>
      <w:r>
        <w:t>FR: TF 2C_1012/2019 du 6 décembre 2019</w:t>
      </w:r>
    </w:p>
    <w:p>
      <w:r>
        <w:t>IT: TF 2C_1012/2019 del 6 dicembre 2019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L'impugnativa può riguardare solo la questione dell'inammissibilità per versamento tardivo dell'anticipo chiesto per le spese giudiziarie, quindi l'eventuale applicazione incostituzionale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 caso concreto l'allegato ricorsuale nulla contiene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 conseguenza che deriva dalla mancata osservanza del termine accordato per versare un anticipo delle presunte spese processuali, cioè l'inammissibilità dell'allegato ricorsuale (art. 47 cpv. 3 in relazione con l'art. 13 cpv. 5 LPAmm). L'impugnativa sfugge pertanto ad un esame di merito.</w:t>
      </w:r>
    </w:p>
    <w:p>
      <w:r>
        <w:rPr>
          <w:b/>
        </w:rPr>
        <w:t>E. 2.3</w:t>
      </w:r>
    </w:p>
    <w:p>
      <w:r>
        <w:t>A titolo abbondanziale va osservato che il fatto che, come addotto dalla ricorrente, l'ordine di pagamento sia stato impartito in tempo utile non è in ogni caso rilevante dato che, per quanto concerne il pagamento dell'anticipo delle spese, la banca è considerata, per prassi costante, come l'ausiliario della parte ricorrente ( art. 101 CO ), la quale risponde degli atti della banca come se fossero i propri (sentenza 2C_1134/2014 del 14 agosto 2015 consid. 5.2 e riferimenti). Ora, come emerge dalla sentenza impugnata (cfr. giudizio cantonale pag. 2) e non contestato dalla ricorrente, la tardività del pagamento è dovuto ad un errore della banca.</w:t>
      </w:r>
    </w:p>
    <w:p>
      <w:r>
        <w:rPr>
          <w:b/>
        </w:rPr>
        <w:t>E. 2.4</w:t>
      </w:r>
    </w:p>
    <w:p>
      <w:r>
        <w:t>Infine la ricorrente non fa valere dinanzi a questa Corte elementi che permetterebbero di trattare il suo gravame alla stregua di un'istanza di restituzione in intero dei termini da trasmettere all'autorità cantonale per competenza.</w:t>
      </w:r>
    </w:p>
    <w:p>
      <w:r>
        <w:rPr>
          <w:b/>
        </w:rPr>
        <w:t>E. 2.5</w:t>
      </w:r>
    </w:p>
    <w:p>
      <w:r>
        <w:t>Per i motivi illustrati il ricorso si avvera pertanto manifestamente inammissibile e può essere deciso secondo la procedura semplificata di cui all' art. 108 cpv. 1 LTF .</w:t>
      </w:r>
    </w:p>
    <w:p>
      <w:r>
        <w:rPr>
          <w:b/>
        </w:rPr>
        <w:t>E. 3</w:t>
      </w:r>
    </w:p>
    <w:p>
      <w:r>
        <w:t>Le spese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