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2C_1010/2016 vom 19. Juli 2017</w:t>
      </w:r>
    </w:p>
    <w:p>
      <w:r>
        <w:t>Bundesgericht, 2017-07-19, DE</w:t>
      </w:r>
    </w:p>
    <w:p>
      <w:r>
        <w:rPr>
          <w:b/>
        </w:rPr>
        <w:t xml:space="preserve">Quelle: </w:t>
      </w:r>
      <w:r>
        <w:t>https://mcp.opencaselaw.ch/entscheid/bger_2C_1010_2016</w:t>
      </w:r>
    </w:p>
    <w:p>
      <w:r>
        <w:t>FR: TF 2C_1010/2016 du 19 juillet 2017</w:t>
      </w:r>
    </w:p>
    <w:p>
      <w:r>
        <w:t>IT: TF 2C_1010/2016 del 19 luglio 2017</w:t>
      </w:r>
    </w:p>
    <w:p>
      <w:pPr>
        <w:pStyle w:val="Heading2"/>
      </w:pPr>
      <w:r>
        <w:t>Erwägungen</w:t>
      </w:r>
    </w:p>
    <w:p>
      <w:r>
        <w:rPr>
          <w:b/>
        </w:rPr>
        <w:t>E. 1.1</w:t>
      </w:r>
    </w:p>
    <w:p>
      <w:r>
        <w:t>Beim angefochtenen Urteil handelt es sich um einen kantonal letztinstanzlichen Endentscheid (vgl. BGE 134 II 124 E. 1.3 S. 127) über die Kantons-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Beschwerdeführerin ist gestützt auf Art. 89 Abs. 1 BGG zur Beschwerde legitimiert. Auf das frist- und formgerecht eingereichte Rechtsmittel ist einzutreten ( Art. 42 und 100 BGG ).</w:t>
      </w:r>
    </w:p>
    <w:p>
      <w:r>
        <w:rPr>
          <w:b/>
        </w:rPr>
        <w:t>E. 1.2</w:t>
      </w:r>
    </w:p>
    <w:p>
      <w:r>
        <w:t>Das Verwaltungsgericht hat die Verfahren betreffend die direkte Bundessteuer sowie die Kantons- und Gemeindesteuern vereinigt, dann ein einziges Urteil gefällt. Die Beschwerdeführerin ficht das vorinstanzliche Urteil mit einer einzigen Eingabe an. Das ist zulässig, sofern darin zwischen der direkten Bundessteuer sowie der Staatssteuer unterschieden wird und aus den Anträgen hervorgeht, inwieweit die beiden Steuerarten angefochten sind und wie zu entscheiden ist ( BGE 135 II 260 E. 1.3.2 S. 263 f.; 131 II 553 E. 4.2 S. 559). Diese Voraussetzungen sind hier erfüllt.</w:t>
      </w:r>
    </w:p>
    <w:p>
      <w:r>
        <w:rPr>
          <w:b/>
        </w:rPr>
        <w:t>E. 1.3</w:t>
      </w:r>
    </w:p>
    <w:p>
      <w:r>
        <w:t>Das Bundesgericht hat für die direkte Bundessteuer (2C_1012/2016) und die Kantons- und Gemeindesteuern (2C_1010/2016) praxisgemäss zwei getrennte Verfahren eröffnet. Eine Vereinigung der beiden Verfahren vor Bundesgericht rechtfertigt sich, soweit es um denselben Sachverhalt geht und sich bundes- sowie kantonalrechtlich dieselben Rechtsfragen stellen (vgl. Art. 71 BGG i.V.m. Art. 24 BZP [SR 273]). Davon ist auszugehen, wenn - wie hier - harmonisiertes kantonales Recht betroffen ist; dann ist eine vertikale Harmonisierung ohnehin angezeigt (Urteil 2C_392/2013 vom 20. Dezember 2013 E. 1.1 mit Hinweisen).</w:t>
      </w:r>
    </w:p>
    <w:p>
      <w:r>
        <w:t>II. Direkte Bundessteuer</w:t>
      </w:r>
    </w:p>
    <w:p>
      <w:r>
        <w:rPr>
          <w:b/>
        </w:rPr>
        <w:t>E. 2.1</w:t>
      </w:r>
    </w:p>
    <w:p>
      <w:r>
        <w:t>Ob die Strafverfolgung während des bundesgerichtlichen Verfahrens verjährt ist, prüft das Bundesgericht von Amtes wegen. Anders verhält es sich, wenn sich die Verjährung ausschliesslich auf kantonales Recht stützt, was hier nicht der Fall ist ( BGE 138 II 169 E. 3.2 und 3.4 S. 171 f.).</w:t>
      </w:r>
    </w:p>
    <w:p>
      <w:r>
        <w:rPr>
          <w:b/>
        </w:rPr>
        <w:t>E. 2.2</w:t>
      </w:r>
    </w:p>
    <w:p>
      <w:r>
        <w:t>Gemäss Art. 184 Abs. 1 DBG (in der Fassung vom 14. Dezember 1990) verjährt die Strafverfolgung bei vollendeter Steuerhinterziehung zehn Jahre nach Ablauf der Steuerperiode, für die der Steuerpflichtige nicht oder unvollständig veranlagt wurde oder der Steuerabzug an der Quelle nicht gesetzmässig erfolgte oder zehn Jahre nach Ablauf des Kalenderjahres, in dem eine unrechtmässige Rückerstattung oder ein ungerechtfertigter Erlass erwirkt wurde oder Vermögenswerte im Inventarverfahren verheimlicht oder beiseite geschafft wurden. Die Verjährung wird durch jede Strafverfolgungshandlung gegenüber dem Steuerpflichtigen unterbrochen. Mit der Unterbrechung beginnt die Verjährungsfrist neu zu laufen; sie kann aber insgesamt nicht um mehr als die Hälfte ihrer ursprünglichen Dauer hinausgeschoben werden ( Art. 184 Abs. 2 DBG in der Fassung vom 14. Dezember 1990).</w:t>
      </w:r>
    </w:p>
    <w:p>
      <w:r>
        <w:rPr>
          <w:b/>
        </w:rPr>
        <w:t>E. 2.3</w:t>
      </w:r>
    </w:p>
    <w:p>
      <w:r>
        <w:t>Die Revision des allgemeinen Teils des Schweizerischen Strafgesetzbuchs vom 21. Dezember 1937 (SR 311.0; StGB) umfasste eine Umstellung des Verjährungsrechts, u.a. durch die ersatzlose Streichung der Regeln über das Ruhen und die Unterbrechung der Strafverfolgungsverjährung, bei gleichzeitiger Verlängerung der Verjährungsfristen.</w:t>
      </w:r>
    </w:p>
    <w:p>
      <w:r>
        <w:rPr>
          <w:b/>
        </w:rPr>
        <w:t>E. 2.3.1</w:t>
      </w:r>
    </w:p>
    <w:p>
      <w:r>
        <w:t>Vor der Inkraftsetzung des neuen Rechts zeigte sich aber, dass die erforderlichen Anpassungsarbeiten nicht vollständig erfolgt waren. Die Streichung der Regeln über das Ruhen und die Unterbrechung der Verjährung hätte somit in vielen Bereichen zu einer Verkürzung der Verjährungsfristen geführt. Um das zu verhindern, bestimmt nun Art. 333 Abs. 6 lit. b StGB (Abs. 5 gemäss Fassung vom 22. März 2002, in Kraft seit 1. Oktober 2002 [AS 2002 2986]; inzwischen Abs. 6 [vgl. AS 2006 2459]), dass Verfolgungsverjährungsfristen für Übertretungen, die über ein Jahr betragen, um die ordentliche Dauer verlängert, d.h. verdoppelt, werden.</w:t>
      </w:r>
    </w:p>
    <w:p>
      <w:r>
        <w:rPr>
          <w:b/>
        </w:rPr>
        <w:t>E. 2.3.2</w:t>
      </w:r>
    </w:p>
    <w:p>
      <w:r>
        <w:t>Gleichzeitig wurde die Regelung des allgemeinen Teils, wonach die Verjährung nicht mehr eintritt, wenn vor Ablauf der Verjährungsfrist ein erstinstanzliches Urteil ergangen ist (vgl. Art. 97 Abs. 3 StGB ), auf das Nebenstrafrecht ( Art. 333 Abs. 6 lit. d StGB ) ausgedehnt. Mit Inkrafttreten dieser sog. Transformationsnorm (vgl. Roman J. Sieber/ Jasmin Malla, in: Martin Zweifel/Michael Beusch [Hrsg.], Kommentar zum Bundesgesetz über die direkte Bundessteuer, 3. Aufl., Basel 2017, Art. 184 N. 1a) am 1. Oktober 2002 wurde damit die Verjährungsfrist für die Strafverfolgung vollendeter Steuerhinterziehungen (vgl. oben E. 2.2) auf zwanzig Jahre verlängert.</w:t>
      </w:r>
    </w:p>
    <w:p>
      <w:r>
        <w:rPr>
          <w:b/>
        </w:rPr>
        <w:t>E. 2.4</w:t>
      </w:r>
    </w:p>
    <w:p>
      <w:r>
        <w:t>Am 26. September 2014 hat die Bundesversammlung die Verjährungsbestimmungen des DBG an die Allgemeinen Bestimmungen des StGB angepasst (AS 2015 779; BBl 2012 2869).</w:t>
      </w:r>
    </w:p>
    <w:p>
      <w:r>
        <w:rPr>
          <w:b/>
        </w:rPr>
        <w:t>E. 2.4.1</w:t>
      </w:r>
    </w:p>
    <w:p>
      <w:r>
        <w:t>Anders als noch unter der Geltung von Art. 184 DBG a.F. (vgl. oben E. 2.2) kann die Verjährung nicht mehr unterbrochen werden oder ruhen. Hingegen wird ihr Eintritt verhindert, wenn die zuständige kantonale Behörde vor Ablauf der Verjährungsfrist eine Verfügung erlassen hat (vgl. Art. 184 Abs. 2 DBG [in der Fassung vom 26. September 2014]). Während der Bundesrat für die vollendete Steuerhinterziehung noch eine Verjährungsfrist - gemäss neuem System - von 15 Jahren vorgeschlagen hatte (vgl. BBl 2012 2882 f.), hat das Parlament die Frist für die Verjährung der Strafverfolgung bei vollendeter Steuerhinterziehung auf zehn Jahre festgesetzt ( Art. 184 Abs. 1 lit. b DBG ).</w:t>
      </w:r>
    </w:p>
    <w:p>
      <w:r>
        <w:rPr>
          <w:b/>
        </w:rPr>
        <w:t>E. 2.4.2</w:t>
      </w:r>
    </w:p>
    <w:p>
      <w:r>
        <w:t>Gleichzeitig wurde zusätzlich zum Vorschlag in der Botschaft des Bundesrats die Übergangsbestimmung von Art. 205f DBG ins Gesetz aufgenommen. Danach ist für die Beurteilung von Straftaten, die in Steuerperioden vor Inkrafttreten der Änderung vom 26. September 2014 begangen wurden, das neue Recht anwendbar, sofern dieses milder ist als das in jenen Steuerperioden geltende Recht. Die neue Bestimmung ist am 1. Januar 2017 in Kraft getreten (AS 2015 779).</w:t>
      </w:r>
    </w:p>
    <w:p>
      <w:r>
        <w:rPr>
          <w:b/>
        </w:rPr>
        <w:t>E. 2.5</w:t>
      </w:r>
    </w:p>
    <w:p>
      <w:r>
        <w:t>Hier geht es um einen Sachverhalt, der sich zwar im Jahr 2002, jedoch vor dem 1. Oktober 2002 verwirklicht hat. Somit kam - zumindest bis zum 31. Dezember 2016 - die altrechtliche Verjährungsordnung zum Zuge (vgl. oben E. 2.3.1; siehe zum Verhältnis zwischen alt- und neurechtlichen Verjährungsregeln auch BGE 134 IV 328 E.2.1 S. 330 f. betreffend das Mehrwertsteuerrecht; in diesem Urteil brachte das Bundesgericht auf einen Sachverhalt nach dem 1. Oktober 2002 die altrechtliche absolute Verjährungsfrist von 15 Jahren als lex mitior gegenüber der neurechtlichen Verjährung von 20 Jahren zur Anwendung). Im Zeitpunkt der am 13. März 2015 erlassenen Bussenverfügung war die Strafverfolgung nach altem Recht nicht verjährt und wäre es auch jetzt noch nicht.</w:t>
      </w:r>
    </w:p>
    <w:p>
      <w:r>
        <w:t>Gleichzeitig liegt dieser 13. März 2015, als die Bussenverfügung der Steuerverwaltung gegenüber der Beschwerdeführerin erging, mehr als zehn Jahre nach dem Ende der Steuerperiode 2002, für welche die Beschwerdeführerin unvollständig veranlagt wurde (vgl. oben E. 2.4.1). Gemäss Art. 184 Abs. 1 lit. b i.V.m. Abs. 2 DBG (in der Fassung vom 26. September 2014; vgl. oben E. 2.4.1) ist die Strafverfolgung demzufolge verjährt.</w:t>
      </w:r>
    </w:p>
    <w:p>
      <w:r>
        <w:t>Die neue Verjährungsbestimmung von Art. 184 DBG ist mithin milder als das in der Steuerperiode 2002 geltende Recht. Nach Art. 205f DBG (vgl. oben E. 2.4.2) ist die neurechtliche Regel anzuwenden. Am 1. Januar 2017 ist die Verjährung eingetreten. Deshalb ist die Beschwerde betreffend die direkte Bundessteuer gutzuheissen und festzustellen, dass das Recht zur Erhebung einer Busse für vollendete Steuerhinterziehung der direkten Bundessteuer der Periode 2002 verjährt ist.</w:t>
      </w:r>
    </w:p>
    <w:p>
      <w:r>
        <w:t>III. Kantons- und Gemeindesteuern</w:t>
      </w:r>
    </w:p>
    <w:p>
      <w:r>
        <w:rPr>
          <w:b/>
        </w:rPr>
        <w:t>E. 3</w:t>
      </w:r>
    </w:p>
    <w:p>
      <w:r>
        <w:t>Art. 58 Abs. 2 lit. a i.V.m. Abs. 3 StHG (in der Fassung vom 26. September 2014) regelt die Verjährung der Strafverfolgung bei vollendeter Steuerhinterziehung gleich wie Art. 184 Abs. 1 lit. b i.V.m. Abs. 2 DBG (in der Fassung vom 26. September 2014). Auch die Übergangsbestimmung von Art. 78f StHG ist inhaltsgleich mit jener von Art. 205f DBG . Die Kantone waren verpflichtet, die neuen Verjährungsregeln auf den Zeitpunkt des Inkrafttretens in ihr eigenes Recht zu übernehmen und in Kraft zu setzen ( Art. 72s StHG ). Dieser Verpflichtung ist der Kanton Bern mit dem Erlass von Art. 229 Abs. 2 lit. c i.V.m. Abs. 3 des Steuergesetzes des Kantons Bern nachgekommen (vgl. BAG 16-012).</w:t>
      </w:r>
    </w:p>
    <w:p>
      <w:r>
        <w:t>Dementsprechend ist die Strafverfolgung auch bei der Staatssteuer am 1. Januar 2017 verjährt. Die Beschwerde ist damit diesbezüglich ebenfalls gutzuheissen und festzustellen, dass das Recht zur Erhebung einer Busse für vollendete Steuerhinterziehung der Kantons- und Gemeindesteuern der Periode 2002 verjährt ist.</w:t>
      </w:r>
    </w:p>
    <w:p>
      <w:r>
        <w:t>IV. Kosten- und Entschädigungsfolgen</w:t>
      </w:r>
    </w:p>
    <w:p>
      <w:r>
        <w:rPr>
          <w:b/>
        </w:rPr>
        <w:t>E. 4</w:t>
      </w:r>
    </w:p>
    <w:p>
      <w:r>
        <w:t>Da die Verjährung vor Bundesgericht eingetreten ist, sind keine Kosten zu erheben (vgl. Art. 66 Abs. 1 BGG ) und ist der Beschwerdeführerin eine Parteientschädigung aus der Bundesgerichtskasse zu bezahlen (vgl. Art. 68 Abs. 1 BGG ).</w:t>
      </w:r>
    </w:p>
    <w:p>
      <w:r>
        <w:t>Praxisgemäss ist bei diesem Ausgang des Verfahrens die Sache zur entsprechenden Neufestlegung der Kosten- und Entschädigungsfolgen des kantonalen Verfahrens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