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1010/2015 vom 16. November 2015</w:t>
      </w:r>
    </w:p>
    <w:p>
      <w:r>
        <w:t>Bundesgericht, 2015-11-16, FR</w:t>
      </w:r>
    </w:p>
    <w:p>
      <w:r>
        <w:rPr>
          <w:b/>
        </w:rPr>
        <w:t xml:space="preserve">Quelle: </w:t>
      </w:r>
      <w:r>
        <w:t>https://mcp.opencaselaw.ch/entscheid/bger_2C_1010_2015</w:t>
      </w:r>
    </w:p>
    <w:p>
      <w:r>
        <w:t>FR: TF 2C 1010/2015 du 16 novembre 2015</w:t>
      </w:r>
    </w:p>
    <w:p>
      <w:r>
        <w:t>IT: TF 2C 1010/2015 del 16 novembre 2015</w:t>
      </w:r>
    </w:p>
    <w:p>
      <w:pPr>
        <w:pStyle w:val="Heading2"/>
      </w:pPr>
      <w:r>
        <w:t>Regeste</w:t>
      </w:r>
    </w:p>
    <w:p>
      <w:r>
        <w:t>Contrôle de conformité aux préscriptions légales des bijoux vendus | Équilibre écologique</w:t>
      </w:r>
    </w:p>
    <w:p>
      <w:pPr>
        <w:pStyle w:val="Heading2"/>
      </w:pPr>
      <w:r>
        <w:t>Erwägungen</w:t>
      </w:r>
    </w:p>
    <w:p>
      <w:r>
        <w:rPr>
          <w:b/>
        </w:rPr>
        <w:t>E. 1</w:t>
      </w:r>
    </w:p>
    <w:p>
      <w:r>
        <w:t>Par arrêt du 13 octobre 2015, la Cour de justice du canton de Genève a rejeté le recours que X.________ Sàrl a déposé contre la décision du 13 juin 2015 et celle sur réclamation du 18 février 2015 du Service de la consommation et des affaires vétérinaires du canton de Genève facturant 1'925 fr. de frais pour huit analyses de bijoux selon le tarif établi par les chimistes cantonaux suisses ainsi que selon l'art. 3 al. 1 let. a ch. 3 du règlement genevois fixant les émoluments perçus par le département de l'emploi, des affaires sociales et de la santé et ses services (RemDEAS; K 1 03.04).</w:t>
      </w:r>
    </w:p>
    <w:p>
      <w:r>
        <w:rPr>
          <w:b/>
        </w:rPr>
        <w:t>E. 2</w:t>
      </w:r>
    </w:p>
    <w:p>
      <w:r>
        <w:t>Par mémoire du 12 novembre 2015, X.________ Sàrl demande au Tribunal fédéral au moins implicitement l'annulation de l'arrêt du 13 octobre 2015. Elle se plaint d'une violation de la procédure légale en comparant les coûts d'une analyse qui serait effectuée par un analyseur portable par opposition à une analyse de laboratoire, ce que n'aurait pas jugé l'instance précédente.</w:t>
      </w:r>
    </w:p>
    <w:p>
      <w:r>
        <w:rPr>
          <w:b/>
        </w:rPr>
        <w:t>E. 3</w:t>
      </w:r>
    </w:p>
    <w:p>
      <w:r>
        <w:t>Sauf dans les cas cités expressément par l'art. 95 de la loi du 17 juin 2005 sur le Tribunal fédéral (LTF; RS 173.110), le recours en matière de droit public, ouvert en l'espèce ( art. 83 LTF a contrario),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En l'espèce, le tarif relatif au coût des analyses et les émoluments que les cantons peuvent percevoir auprès de la recourante et qui ont été confirmés par l'instance précédente relèvent du droit cantonal sur délégation du droit fédéral comme cela ressort à juste titre de l'arrêt attaqué (consid. 6, p. 9). La recourante ne se plaint toutefois de la violation d'aucun droit fondamental dans son mémoire de recours.</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