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2C_1010/2014 vom 7. November 2014</w:t>
      </w:r>
    </w:p>
    <w:p>
      <w:r>
        <w:t>Bundesgericht, 2014-11-07, FR</w:t>
      </w:r>
    </w:p>
    <w:p>
      <w:r>
        <w:rPr>
          <w:b/>
        </w:rPr>
        <w:t xml:space="preserve">Quelle: </w:t>
      </w:r>
      <w:r>
        <w:t>https://mcp.opencaselaw.ch/entscheid/bger_2C_1010_2014</w:t>
      </w:r>
    </w:p>
    <w:p>
      <w:r>
        <w:t>FR: TF 2C_1010/2014 du 7 novembre 2014</w:t>
      </w:r>
    </w:p>
    <w:p>
      <w:r>
        <w:t>IT: TF 2C_1010/2014 del 7 novembre 2014</w:t>
      </w:r>
    </w:p>
    <w:p>
      <w:pPr>
        <w:pStyle w:val="Heading2"/>
      </w:pPr>
      <w:r>
        <w:t>Erwägungen</w:t>
      </w:r>
    </w:p>
    <w:p>
      <w:r>
        <w:rPr>
          <w:b/>
        </w:rPr>
        <w:t>E. 1</w:t>
      </w:r>
    </w:p>
    <w:p>
      <w:r>
        <w:t>Par décision du 29 septembre 2014, le Vice-Président de la Cour de justice du canton de Genève a rejeté le recours que X.________ a déposé contre le refus de lui accorder l'assistance judiciaire dans une procédure en matière fiscale.</w:t>
      </w:r>
    </w:p>
    <w:p>
      <w:r>
        <w:rPr>
          <w:b/>
        </w:rPr>
        <w:t>E. 2</w:t>
      </w:r>
    </w:p>
    <w:p>
      <w:r>
        <w:t>Par courrier du 27 octobre 2014, l'intéressé a écrit au Tribunal fédéral pour confirmer sa volonté de recourir contre le jugement de la Cour de justice.</w:t>
      </w:r>
    </w:p>
    <w:p>
      <w:r>
        <w:t>Le 28 octobre 2014, le greffier de la IIe cour de droit public du Tribunal fédéral a averti l'intéressé que son courrier du 27 octobre 2014 ne répondait pas aux exigences de forme de la loi sur le Tribunal fédéral et qu'il lui appartenait d'y remédier avant l'échéance du délai de recours, faute de quoi dit courrier serait déclaré irrecevable. Aucun nouveau courrier de l'intéressé n'est parvenu au Tribunal fédéral depuis lors.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du 27 octobre 2014 à l'attention du Tribunal fédéral n'expose pas de motifs ni de conclusions. Ne répondant pas aux exigences de motivation des art. 42 al. 2 LTF , le courrier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