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1007/2013 vom 23. Mai 2014</w:t>
      </w:r>
    </w:p>
    <w:p>
      <w:r>
        <w:t>Bundesgericht, 2014-05-23, DE</w:t>
      </w:r>
    </w:p>
    <w:p>
      <w:r>
        <w:rPr>
          <w:b/>
        </w:rPr>
        <w:t xml:space="preserve">Quelle: </w:t>
      </w:r>
      <w:r>
        <w:t>https://mcp.opencaselaw.ch/entscheid/bger_2C_1007_2013</w:t>
      </w:r>
    </w:p>
    <w:p>
      <w:r>
        <w:t>FR: TF 2C 1007/2013 du 23 mai 2014</w:t>
      </w:r>
    </w:p>
    <w:p>
      <w:r>
        <w:t>IT: TF 2C 1007/2013 del 23 maggio 2014</w:t>
      </w:r>
    </w:p>
    <w:p>
      <w:pPr>
        <w:pStyle w:val="Heading2"/>
      </w:pPr>
      <w:r>
        <w:t>Regeste</w:t>
      </w:r>
    </w:p>
    <w:p>
      <w:r>
        <w:t>Widerhandlung gegen Vorschriften der Tierschutzgesetzgebung | Ökologisches Gleichgewicht</w:t>
      </w:r>
    </w:p>
    <w:p>
      <w:pPr>
        <w:pStyle w:val="Heading2"/>
      </w:pPr>
      <w:r>
        <w:t>Erwägungen</w:t>
      </w:r>
    </w:p>
    <w:p>
      <w:r>
        <w:rPr>
          <w:b/>
        </w:rPr>
        <w:t>E. 1.1</w:t>
      </w:r>
    </w:p>
    <w:p>
      <w:r>
        <w:t>Angefochten ist ein letztinstanzlicher kantonaler Endentscheid ( Art. 86 Abs. 1 lit. d und Art. 90 BGG ) eines oberen Gerichts ( Art. 86 Abs. 2 BGG ) über eine Angelegenheit des öffentlichen Rechts ( Art. 82 lit. a BGG ), welcher unter keinen der in Art. 83 BGG genannten Ausschlussgründe fällt, weshalb die Beschwerde in öffentlich-rechtlichen Angelegenheiten zulässig ist. Der Beschwerdeführer ist hierzu legitimiert ( Art. 89 Abs. 1 BGG ). Für die subsidiäre Verfassungsbeschwerde (vgl. S. 2 f. der Eingabe vom 28. Oktober 2013) besteht unter diesen Umständen kein Raum ( Art. 113 BGG ). Nicht einzutreten ist auf die Beschwerde auch insoweit, als der Beschwerdeführer die Aufhebung der Verfügungen des Veterinäramts vom 14. September und 12. Oktober 2012 sowie des Departementsentscheides vom 15. April 2013 verlangt. Diese sind durch das Urteil des Verwaltungsgerichts ersetzt worden (Devolutiveffekt) und gelten inhaltlich als mitangefochten ( BGE 136 II 177 E. 1.3 S. 180 f.).</w:t>
      </w:r>
    </w:p>
    <w:p>
      <w:r>
        <w:rPr>
          <w:b/>
        </w:rPr>
        <w:t>E. 1.2</w:t>
      </w:r>
    </w:p>
    <w:p>
      <w:r>
        <w:t>Im angefochtenen Entscheid hat die Vorinstanz eine Ausstandspflicht des Kantonstierarztes und des Departementsvorstehers verneint und die Streitsache zugleich materiell beurteilt. Das Rechtsbegehren der vorliegenden Beschwerde sowie deren Begründung richtet sich ausschliesslich gegen eine angebliche Verletzung von Ausstandsvorschriften. Darüber wurde nicht vorgängig in einem separaten, selbständig eröffneten Vor- oder Zwischenentscheid befunden (vgl. Art. 92 BGG ), so dass eine entsprechende Rüge auch noch in der Beschwerde gegen den Endentscheid erhoben werden kann, zumal eine Heilung von Ausstandsfehlern nur sehr zurückhaltend anzunehmen ist (Urteile 5A_357/2011 vom 7. Oktober 2011 E. 3.3; 1C_378/2008 vom 27. Januar 2009 E. 2.7 und E. 3).</w:t>
      </w:r>
    </w:p>
    <w:p>
      <w:r>
        <w:rPr>
          <w:b/>
        </w:rPr>
        <w:t>E. 1.3</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Die erhobenen Rügen müssen zudem in der Beschwerdeschrift selber enthalten sein; der blosse Verweis auf Ausführungen in anderen Rechtsschriften oder auf die Akten reicht nicht aus ( BGE 133 II 396 E. 3.1 S. 399 f. mit Hinweisen). Die entsprechende Anmerkung des Beschwerdeführers (S. 3), wonach sich seine Beschwerde (im Umfang von 26 Seiten) "nur auf das Wesentliche" beschränke und die "bisherigen Eingaben an die Vorinstanzen (...) eine Fülle an Informationen zum besseren Verständnis enthalten" sollen, ist für das Bundesgericht damit unbeachtlich. Soweit die Vorinstanz kantonales Recht anzuwenden hatte, kann nur geltend gemacht werden, der angefochtene Entscheid verstosse gegen Normen des Bundesrechts ( Art. 95 lit. a BGG ). Im Übrigen kann die Auslegung und Anwendung des kantonalen Rechts - in den Grenzen der vom Beschwerdeführer hinreichend substantiierten Rügen ( Art. 106 Abs. 2 BGG ) - lediglich im Lichte der verfassungsmässigen Rechte und Grundsätze, namentlich des Willkürverbots ( Art. 9 BV ), sowie der kantonalen Verfassungsrechte ( Art. 95 lit. c BGG ) geprüft werden ( BGE 137 V 143 E. 1.2 S. 145 ; 134 I 153 E. 4.2.2 S. 158; 134 II 349 E. 3 S. 351).</w:t>
      </w:r>
    </w:p>
    <w:p>
      <w:r>
        <w:rPr>
          <w:b/>
        </w:rPr>
        <w:t>E. 1.4</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 Art. 106 Abs. 2 BGG ; BGE 136 II 304 E. 2.5 S. 314 mit Hinweisen), setzt zudem voraus, dass die Behebung des Mangels für den Ausgang des Verfahrens entscheidend sein kann ( Art. 97 Abs. 1 BGG ). Soweit der Beschwerdeführer eine eigene Darstellung des Sachverhalts vorträgt, ohne durch rechtsgenüglich erhobene Rügen die Sachverhaltsfeststellungen der Vorinstanz in Frage zu ziehen, ist darauf nicht einzugehen.</w:t>
      </w:r>
    </w:p>
    <w:p>
      <w:r>
        <w:rPr>
          <w:b/>
        </w:rPr>
        <w:t>E. 2.1</w:t>
      </w:r>
    </w:p>
    <w:p>
      <w:r>
        <w:t>Der Beschwerdeführer beruft sich auf Art. 29 Abs. 1 BV (Anspruch auf gleiche und gerechte Behandlung in Verfahren vor Gerichts- und Verwaltungsinstanzen) sowie auf § 31 der Kantonsverfassung vom 16. März 1987 (KV/TG), welcher lautet: Mitglieder einer Behörde haben den Ausstand zu wahren, wenn sie in einer Angelegenheit ein unmittelbares oder ein erhebliches mittelbares Interesse haben. Dabei tut der Beschwerdeführer nicht dar, dass und inwiefern die genannte kantonale Verfassungsbestimmung weitergehende Ansprüche vermitteln würde als Art. 29 Abs. 1 BV . Er macht aber im Wesentlichen geltend, der Kantonstierarzt sei - u.a. aufgrund der gegen ihn gerichteten Strafanzeige wegen Amtsgeheimnisverletzung, aufgrund der im dortigen Verfahren gezeigten persönlichen Geringschätzung und Abneigung gegenüber dem beschwerdeführenden Landwirt und aufgrund seines gesamten Verhaltens bis hin zur unangemeldeten Kontrolle vom 13. September 2012 - ihm gegenüber voreingenommen gewesen. Ob der Kantonstierarzt diese Kontrolle "aus Retorsion oder um sich Vorteile zu beschaffen", durchgeführt habe, jedenfalls hätten "zwingende Ausstandsgründe" bestanden. Auch der Departementschef habe im Vorfeld seines Entscheides die "persönliche Geringschätzung gegenüber dem Beschwerdeführer (...) klar und deutlich zum Ausdruck" gebracht und überdies dem Kantonstierarzt ein "Gefälligkeitszeugnis" ausgestellt. Damit bestünden "gleich mehrere Verletzungen von Art. 29 Abs. 1 BV bzw. § 31 KV/TG (...), die - würden sie nicht geahndet - der Willkür in der thurgauischen Verwaltung Tür und Tor öffnen würde".</w:t>
      </w:r>
    </w:p>
    <w:p>
      <w:r>
        <w:rPr>
          <w:b/>
        </w:rPr>
        <w:t>E. 2.2</w:t>
      </w:r>
    </w:p>
    <w:p>
      <w:r>
        <w:t>In Analogie zu Art. 30 Abs. 1 BV verpflichtet Art. 29 Abs. 1 BV eine Amtsperson zum Ausstand, wenn Umstände vorliegen, die nach objektiven Gesichtspunkten geeignet sind, den Anschein der Befangenheit zu erwecken ( BGE 127 I 196 E. 2b S. 198 f.). Nach der ständigen Rechtsprechung gilt für verwaltungsinterne Verfahren aber nicht der strenge, für unabhängige richterliche Behörden gültige Massstab von Art. 30 Abs. 1 BV ( BGE 125 I 119 E. 3 S. 122 ff.), namentlich auch, was den Ausstand von Regierungsräten betrifft (Urteile 1A.28/1995 vom 14. März 1996 E. 4, nicht publ. in: BGE 122 II 81 ; 1P.699/1994 vom 11. Juni 1996 E. 3a; 1C_442/2011 vom 6. März 2012 E. 2). Nichtrichterliche Amtspersonen haben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(Urteile 1C_413/2012 vom 14. Juni 2013 E. 4.2; 2D_29/2009 vom 12. April 2011 E. 3.3; 2C_36/2010 vom 14. Juni 2010 E. 3.3; 1P.208/2001 vom 16. Juli 2001 E. 3b mit Hinweisen, vgl. auch BGE 125 I 119 E. 3e S. 124). Ein Ausstandsgrund kann auch dann vorliegen, wenn sich die Amtsperson schon vorher über die konkrete Sache geäussert hat (Urteil 2P.56/2004 vom 4. November 2004 E. 3), dagegen nicht, wenn sie schon früher Entscheide zum Nachteil der betroffenen Partei gefällt hat ( BGE 125 I 209 E. 8 S. 217 ff.). Allein der Umstand, dass gegen eine Magistrats- oder Amtsperson Strafanzeige erhoben wurde, vermag deren Ausstand nicht zu rechtfertigen (Urteile 1B_224/2010 vom 11. Januar 2011 E. 4.7; 1P. 514/2002 vom 13. Februar 2003 E. 2.5; 1P.568/2002 vom 20. Januar 2003 E. 2).</w:t>
      </w:r>
    </w:p>
    <w:p>
      <w:r>
        <w:rPr>
          <w:b/>
        </w:rPr>
        <w:t>E. 3</w:t>
      </w:r>
    </w:p>
    <w:p>
      <w:r>
        <w:t>Aus dieser Rechtsprechung erhellt vorweg, dass der Beschwerdeführer mit seinem Argument, der Kantonstierarzt müsse infolge der gegen ihn erhobenen Strafanzeige wegen Amtsgeheimnisverletzung in den Ausstand treten, nicht durchzudringen vermag. Ebenso wenig zu beanstanden sind die Ausführungen der Vorinstanz, wonach ihrer Auffassung nach der Kantonstierarzt "keine strafbaren Handlungen begangen" habe; ein Verwaltungsgericht darf vorfrageweise strafrechtliche Fragen prüfen, wenn diese für seinen Entscheid relevant erscheinen. Selbst wenn die Herausgabe von Informationen an die Frau Gemeindeammann von U.________ bzw. deren Beizug zur Informationsbeschaffung über die Tierhaltung auf dem Hof des Beschwerdeführers unrechtmässig gewesen wäre, könnte darin keine gravierende Amtspflichtverletzung erblickt werden und wäre damit ein Ausstandsgrund für den Kantonstierarzt ebenfalls nicht gegeben. Wenn dieser im Laufe der Strafuntersuchung ausgeführt hat, es gehe ihm darum, "nicht angeschossen" zu werden, meinte er damit, dass er sowohl von der Öffentlichkeit und den Politikern als auch von den Landwirten und Tierhaltern, also "immer von beiden Seiten gleich stark angeschossen" werde (vgl. Einvernahmeprotokoll vom 20. März 2012); darin liegt kein Ausstandsgrund. Andere Aussagen des Kantonstierarztes in den Einvernahmen vor dem Staatsanwalt (vgl. vorne lit. A.b) dürfen sodann nicht aus dem Zusammenhang gerissen werden. Auch wenn sie ungeschickt erscheinen, müssen sie - zumal der Beschuldigte sich dort verpflichtet sah, eine seiner ureigensten Aufgaben (nämlich die Durchsetzung tierschutzrechtlicher Vorschriften) zu verteidigen - im Kontext der konkreten Situation beurteilt werden und kann allein darin jedenfalls keine unzulässige Vorverurteilung des Beschwerdeführers erblickt werden. Soweit dieser geltend macht, mit der unangemeldet durchgeführten Kontrolle vom 13. September 2012 sei absichtlich zugewartet worden, um gegen ihn einen Rachefeldzug zu starten, ist ihm entgegenzuhalten, dass dem Veterinäramt zwischenzeitlich neue Hinweise im Zusammenhang mit angeblich vorschriftswidriger Tierhaltung auf dem Hof von A.________ zugetragen worden sind (angefochtener Entscheid S. 3). Von einer Retorsionsmassnahme kann also keine Rede sein. Der Beschwerdeführer bestreitet im Übrigen nicht, dass der Verdacht in der Sache (mangelhafte Tierhaltung) im September 2012 begründet war; seine Mutmassungen auf die Herkunft dieser Hinweise (Beschwerde S. 16 f.) ändern daran nichts.</w:t>
      </w:r>
    </w:p>
    <w:p>
      <w:r>
        <w:rPr>
          <w:b/>
        </w:rPr>
        <w:t>E. 4.1</w:t>
      </w:r>
    </w:p>
    <w:p>
      <w:r>
        <w:t>Was das Ausstandsbegehren gegen den zuständigen Departementsvorsteher betrifft, hat das Verwaltungsgericht festgehalten, dass das Departement - zumal ein ausdrücklicher entsprechender Antrag gestellt worden war - darüber hätte befinden müssen. Das Gericht sah in der Nichtbegründung eine Verletzung des Anspruchs auf rechtliches Gehör (S. 11 des angefochtenen Entscheides). In der Folge hat es das Ausstandsbegehren aber materiell geprüft und das Vorliegen eines Ausstandsgrundes verneint. Eine solche Heilung ist nicht unzulässig; den formalen Einwänden des Beschwerdeführers (u.a. "faktische Entscheide", S. 21 f. der Beschwerdeschrift) ist damit die Grundlage entzogen.</w:t>
      </w:r>
    </w:p>
    <w:p>
      <w:r>
        <w:rPr>
          <w:b/>
        </w:rPr>
        <w:t>E. 4.2</w:t>
      </w:r>
    </w:p>
    <w:p>
      <w:r>
        <w:t>Weiter hat das Verwaltungsgericht erwogen, es treffe zu, dass der Kantonstierarzt den zuständigen Regierungsrat vorgängig informiert habe. Dieser habe jedoch keinerlei Weisungen über einen allfälligen Entscheid erteilt. Auch hätten die beiden bloss generell über die Schwierigkeiten bei Abklärungen von allfälligen Verletzungen der Auslaufvorschriften gesprochen; eine unzulässige Vorbefassung des Departementsvorstehers liege damit nicht vor. Der Beschwerdeführer legt nicht dar, dass der zuständige Regierungsrat und der Kantonstierarzt über das konkrete Ergebnis von Untersuchungen auf dem Hof von A.________ debattiert haben. Eine Diskussion darüber, "wie man die Sache mit A.________ abklären kann" (vgl. vorne lit. A.b), begründet noch keine Vorbefassung des zuständigen Departementsvorstehers. Von persönlicher Geringschätzung, welche der Letztere gegenüber dem Beschwerdeführer gezeigt haben soll, kann keine Rede sein. Unmutsäusserungen des Regierungsrats (etwa, dass das Verhalten des Rechtsvertreters "eines Rechtsanwaltes, Juristen und bei einem Thurgauer Bezirksgericht tätigen Kantonsangestellten nicht würdig und geradezu beschämend" sei), welche vom Beschwerdeführer moniert werden, richten sich nicht an diesen selber, sondern gegen dessen Rechtsvertreter. Inwiefern der Departementsvorsteher dem Kantonstierarzt nachträglich ein "Gefälligkeitszeugnis" ausgestellt haben sollte, ist mit Blick auf den Ablauf der Ereignisse nicht ersichtlich. Selbst wenn die Darstellung des Beschwerdeführers, welcher sich u.a. auf eine Aussage des Staatsanwaltes beruft ("Ich frage mich einfach, wie man jemanden vom Amtsgeheimnis entbinden kann, wenn man gar nicht darüber gesprochen hat" [vgl. Einvernahmeprotokoll vom 16. August 2012 S. 6]) zutreffend wäre, läge darin jedenfalls keine gravierende Amtspflichtverletzung, welche den Ausstand des Departementsvorstehers geboten hätte (vorne E. 2.2).</w:t>
      </w:r>
    </w:p>
    <w:p>
      <w:r>
        <w:rPr>
          <w:b/>
        </w:rPr>
        <w:t>E. 5</w:t>
      </w:r>
    </w:p>
    <w:p>
      <w:r>
        <w:t>Die Beschwerde ist damit als unbegründet abzuweisen, soweit darauf einzutreten ist. Der Beschwerdeführer trägt die Kosten des Verfahrens (Art. 65/66 BGG). Zwar hatte er zunächst ein Gesuch um unentgeltliche Rechtspflege gestellt. Nach der Aufforderung, einen Bedürftigkeitsnachweis einzureichen, hat er aber den einverlangten Kostenvorschuss bezahlt und damit stillschweigend auf das prozessuale Armenrecht verzichtet.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