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2C_1005/2014 vom 25. Februar 2015</w:t>
      </w:r>
    </w:p>
    <w:p>
      <w:r>
        <w:t>Bundesgericht, 2015-02-25, DE</w:t>
      </w:r>
    </w:p>
    <w:p>
      <w:r>
        <w:rPr>
          <w:b/>
        </w:rPr>
        <w:t xml:space="preserve">Quelle: </w:t>
      </w:r>
      <w:r>
        <w:t>https://mcp.opencaselaw.ch/entscheid/bger_2C_1005_2014</w:t>
      </w:r>
    </w:p>
    <w:p>
      <w:r>
        <w:t>FR: TF 2C_1005/2014 du 25 février 2015</w:t>
      </w:r>
    </w:p>
    <w:p>
      <w:r>
        <w:t>IT: TF 2C_1005/2014 del 25 febbraio 2015</w:t>
      </w:r>
    </w:p>
    <w:p>
      <w:pPr>
        <w:pStyle w:val="Heading2"/>
      </w:pPr>
      <w:r>
        <w:t>Erwägungen</w:t>
      </w:r>
    </w:p>
    <w:p>
      <w:r>
        <w:rPr>
          <w:b/>
        </w:rPr>
        <w:t>E. 1.1</w:t>
      </w:r>
    </w:p>
    <w:p>
      <w:r>
        <w:t>Der angefochtene Entscheid ist grundsätzlich mit Beschwerde in öffentlich-rechtlichen Angelegenheiten anfechtbar ( Art. 82 lit. a und Art. 86 Abs. 1 lit. d BGG ). Er weist die Sache zur rein rechnerischen Umsetzung des Angeordneten an die Gemeinde zurück und ist damit ein anfechtbarer Endentscheid ( Art. 90 BGG , vgl. BGE 134 II 124 E. 1.3 S. 127).</w:t>
      </w:r>
    </w:p>
    <w:p>
      <w:r>
        <w:rPr>
          <w:b/>
        </w:rPr>
        <w:t>E. 1.2</w:t>
      </w:r>
    </w:p>
    <w:p>
      <w:r>
        <w:t>Zu prüfen ist die Legitimation der Beschwerdeführerinnen.</w:t>
      </w:r>
    </w:p>
    <w:p>
      <w:r>
        <w:rPr>
          <w:b/>
        </w:rPr>
        <w:t>E. 1.2.1</w:t>
      </w:r>
    </w:p>
    <w:p>
      <w:r>
        <w:t>Im angefochtenen Entscheid werden nebst dem kantonalen Departement die Schulleitung U.________ sowie die Schulkommission U.________ als Beschwerdegegner bezeichnet. Die Schulkommission ist nach Darstellung in der Beschwerde ein Organ der Gemeinde. Mangels einer speziellen Beschwerdeermächtigung ( Art. 89 Abs. 2 lit. a oder d BGG ) können einzelne Behörden oder Organe ohne eigene Rechtspersönlichkeit nicht Beschwerde erheben, sondern nur das Gemeinwesen, dem sie angehören (BGE 8C_470/2014 vom 11. Dezember 2014 E. 2.2, zur Publikation vorgesehen; BGE 136 V 106 E. 3.1 S. 108 f.). Auf die Beschwerde der Schulkommission ist daher nicht einzutreten.</w:t>
      </w:r>
    </w:p>
    <w:p>
      <w:r>
        <w:rPr>
          <w:b/>
        </w:rPr>
        <w:t>E. 1.2.2</w:t>
      </w:r>
    </w:p>
    <w:p>
      <w:r>
        <w:t>Gemeinden sind zur Beschwerde legitimiert, wenn sie die Verletzung von Garantien rügen, die ihnen die Kantons- oder Bundesverfassung gewährt ( Art. 89 Abs. 2 lit. c BGG ), wozu namentlich die Gemeindeautonomie gehört. Für das Eintreten ist allein entscheidend, dass die Beschwerde führende Gemeinde durch einen Akt in ihrer Eigenschaft als Träger hoheitlicher Gewalt berührt ist und eine Verletzung der Autonomie geltend macht; ob die beanspruchte Autonomie tatsächlich besteht und im konkreten Fall verletzt wurde, ist keine Frage des Eintretens, sondern der materiellen Beurteilung ( BGE 140 V 328 E. 4.1 S. 329 f.). Immerhin sind die gesetzlichen Legitimationsvoraussetzungen in der Beschwerde darzulegen, soweit sie nicht ohne Weiteres ersichtlich sind. Bei der Autonomiebeschwerde muss die Gemeinde den Grundsatz der Autonomie in einer ausreichend begründeten Weise anrufen und darlegen, inwiefern sie einen relativ erheblichen Entscheidungsspielraum haben soll ( BGE 140 I 90 E. 1.1 S. 92).</w:t>
      </w:r>
    </w:p>
    <w:p>
      <w:r>
        <w:t>Vorliegend behauptet die beschwerdeführende Gemeinde zwar, die Verpflichtung zur Tragung von Schultransportkosten stelle einen Eingriff in ihre Autonomie dar, legt aber nicht dar, woraus sich ein Autonomiebereich ergeben soll; ein solcher ergibt sich jedenfalls nicht ohne weiteres aus dem vom kantonalen Gericht zugrunde gelegten Art. 46 des Gesetzes vom 6. Mai 2001 über Schule und Bildung (Bildungsgesetz, BiG), ebenso wenig aus dem Umstand, dass die Gemeinden nach Art. 37 Abs. 2 KV/GL und Art. 12 Abs. 3 BiG die Volksschulen führen oder daraus, dass die Schulkommission Beschwerdeinstanz gegen Verfügungen untergeordneter Schulorgane ist (Art. 114 BiG). Auf die Autonomiebeschwerde ist daher nicht einzutreten.</w:t>
      </w:r>
    </w:p>
    <w:p>
      <w:r>
        <w:rPr>
          <w:b/>
        </w:rPr>
        <w:t>E. 1.2.3</w:t>
      </w:r>
    </w:p>
    <w:p>
      <w:r>
        <w:t>Die Gemeinde beruft sich zur Begründung ihrer Legitimation hauptsächlich auf die allgemeine Beschwerdebefugnis ( Art. 89 Abs. 1 BGG ).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(kürzlich bestätigt im Urteil 8C_918/2014 vom 27. Januar 2015, E. 3.2.2.1, vgl. BGE 140 V 328 E. 4.1 S. 329 f.; 138 II 506 E. 2.1.1 S. 508 f. mit Übersicht über die Rechtsprechung). Insbesondere ist die im Rechtsmittelverfahren unterlegene Vorinstanz nicht berechtigt, gegen den sie desavouierenden Entscheid an das Bundesgericht zu gelangen ( BGE 140 V 321 E. 2.1.1 S. 323 mit Hinweisen).</w:t>
      </w:r>
    </w:p>
    <w:p>
      <w:r>
        <w:t>Geht es um Entscheide mit finanziellen Auswirkungen, hat die Rechtsprechung zwar in verschiedenen Konstellationen die Legitimation von Kanton oder Gemeinde bejaht (vgl. Hinweise in BGE 138 II 506 E. 2.1.2 S. 509 f.). Abgesehen von Sonderkonstellationen, in denen die Gemeinde zwar in ihrer Eigenschaft als Hoheitsträger, aber ähnlich wie ein Privater betroffen ist, wird dazu aber vorausgesetzt, dass sie in qualifizierter Weise in zentralen hoheitlichen Interessen berührt ist ( BGE 140 I 90 E. 1.2 S. 93 f.). Zur Begründung des Beschwerderechts genügt nicht jedes beliebige, mit der Erfüllung einer öffentlichen Aufgabe direkt oder indirekt verbundene finanzielle Interesse des Gemeinwesens ( BGE 136 II 274 E. 4.2 S. 279; 136 II 383 E. 2.4 S. 387). Ein solches wird bejaht, wenn die streitigen finanziellen Leistungen eine beträchtliche Höhe erreichen und die Beantwortung der Streitfrage eine über den Einzelfall hinausgehende präjudizielle Wirkung für die öffentliche Aufgabenerfüllung mit insgesamt wesentlicher finanzieller Belastung hat (Urteil 2C_949/2013 vom 24. März 2014 E. 2.2.2 [bejaht bzgl. kommunale Beiträge an kantonale Schulen]), nicht aber dann, wenn es bloss um eine einzelfallbezogene Beurteilung ohne Grundsatzfragen geht ( BGE 140 I 90 E. 1.2.6 S. 95 [kommunaler Kostenanteil an einer Busverbindung]). Verneint wird die Legitimation, wenn es einzig um die finanziellen Folgen der Verwaltungstätigkeit geht, welche das Gemeinwesen in seiner Stellung als hoheitlich verfügende Behörde treffen ( BGE 138 II 506 E. 2.3 S. 511 f, kürzlich bestätigt im Urteil 2C_798/2014 vom 21. Februar 2015 E. 2.3, zur Publikation vorgesehen). In solchen Fällen deckt sich das finanzielle Interesse des Gemeinwesens mit der Frage der richtigen Rechtsanwendung, was zur Legitimation nicht genügt ( BGE 138 II 506 E. 2.4 S. 512; 134 II 45 E. 2.2.1 S. 46 f.).</w:t>
      </w:r>
    </w:p>
    <w:p>
      <w:r>
        <w:rPr>
          <w:b/>
        </w:rPr>
        <w:t>E. 1.2.4</w:t>
      </w:r>
    </w:p>
    <w:p>
      <w:r>
        <w:t>Vorliegend wehrt sich die Gemeinde gegen einen kantonalen Gerichtsentscheid, mit dem ihre Verfügung abgeändert wurde, was zur Folge hat, dass sie in einem konkreten Einzelfall die Transportkosten für einen Schüler übernehmen muss. Der angefochtene Entscheid beruht auf einer Auslegung und Würdigung der konkreten Situation, namentlich darauf, dass der Schulbesuch ausserhalb von V.________ auf einer Verfügung beruhe, hingegen keine neue Verfügung vorliege, wonach ab einem bestimmten Zeitpunkt die Schule wieder in V.________ besucht werden müsse. Das ist eine einzelfallbezogene Beurteilung ohne Grundsatzfrage. Eine Präjudizbindung ergibt sich entgegen der Auffassung der Gemeinde auch nicht daraus, dass das Verwaltungsgericht erwogen hat, jeder ausserkommunale Schulbesuch sei mittels einer Verfügung zu bewilligen. Mit dieser Rechtsauffassung des Verwaltungsgerichts ist die Beschwerdeführerin zwar nicht einverstanden. Daraus ergibt sich aber nicht, dass sie die Transportkosten für alle Schüler übernehmen müsste, die - wie dies bisherige Praxis sei - ohne schriftliche Bewilligung eine Schule ausserhalb des Wohnorts besuchen: Ausschlaggebend war für die Vorinstanz, dass im konkreten Fall der Schulbesuch ausserhalb von V.________ aufgrund einer hoheitlichen Anordnung erfolgt ist, was gemäss der von der Beschwerdeführerin erwähnten Praxis gerade nicht zutrifft. Es geht damit einzig um die finanziellen Folgen der Verwaltungstätigkeit, welche das Gemeinwesen in einem Einzelfall in seiner Stellung als hoheitlich verfügende Behörde treffen, was nach dem Gesagten (vorne E. 1.2.3) für eine Beschwerdebefugnis nach Art. 89 Abs. 1 BGG nicht ausreicht.</w:t>
      </w:r>
    </w:p>
    <w:p>
      <w:r>
        <w:rPr>
          <w:b/>
        </w:rPr>
        <w:t>E. 1.3</w:t>
      </w:r>
    </w:p>
    <w:p>
      <w:r>
        <w:t>Auf die Beschwerde ist daher mangels Legitimation der Beschwerdeführerinnen nicht einzutreten.</w:t>
      </w:r>
    </w:p>
    <w:p>
      <w:r>
        <w:rPr>
          <w:b/>
        </w:rPr>
        <w:t>E. 2</w:t>
      </w:r>
    </w:p>
    <w:p>
      <w:r>
        <w:t>Bei diesem Ausgang trägt die Gemeinde U.________, um deren Vermögensinteresse es geht, die Kosten des Verfahrens ( Art. 66 Abs. 1 und 4 BGG ). Die nicht anwaltlich vertretenen Beschwerdegegner haben keinen Anspruch auf Parteientschädigung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