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2C_1002/2020 vom 28. Dezember 2020</w:t>
      </w:r>
    </w:p>
    <w:p>
      <w:r>
        <w:t>Bundesgericht, 2020-12-28, DE</w:t>
      </w:r>
    </w:p>
    <w:p>
      <w:r>
        <w:rPr>
          <w:b/>
        </w:rPr>
        <w:t xml:space="preserve">Quelle: </w:t>
      </w:r>
      <w:r>
        <w:t>https://mcp.opencaselaw.ch/entscheid/bger_2C_1002_2020</w:t>
      </w:r>
    </w:p>
    <w:p>
      <w:r>
        <w:t>FR: TF 2C_1002/2020 du 28 décembre 2020</w:t>
      </w:r>
    </w:p>
    <w:p>
      <w:r>
        <w:t>IT: TF 2C_1002/2020 del 28 dicembre 2020</w:t>
      </w:r>
    </w:p>
    <w:p>
      <w:pPr>
        <w:pStyle w:val="Heading2"/>
      </w:pPr>
      <w:r>
        <w:t>Erwägungen</w:t>
      </w:r>
    </w:p>
    <w:p>
      <w:r>
        <w:rPr>
          <w:b/>
        </w:rPr>
        <w:t>E. 1.1</w:t>
      </w:r>
    </w:p>
    <w:p>
      <w:r>
        <w:t>Die allgemeinen Voraussetzungen der Beschwerde in öffentlich-rechtlichen Angelegenheiten liegen vor (Art. 82 lit. a, Art. 83 e contrario, Art. 86 Abs. 1 lit. a, Art. 89 Abs. 1, Art. 100 Abs. 1 BGG ). Wie es sich mit der selbständigen Anfechtbarkeit der angefochtenen Zwischenverfügung verhält ( Art. 93 Abs. 1 lit. a BGG ; BGE 144 III 475 E. 1.2 S. 479; 144 III 253 E. 1.3 S. 253 f.; je mit Hinweisen), wovon die Übernehmerin mit Blick auf den angeblich nicht wieder gutzumachenden Nachteil ausgeht, muss nicht entschieden werden. Die Beschwerde ist, wie zu zeigen bleibt, ohnehin abzuweisen.</w:t>
      </w:r>
    </w:p>
    <w:p>
      <w:r>
        <w:rPr>
          <w:b/>
        </w:rPr>
        <w:t>E. 1.2</w:t>
      </w:r>
    </w:p>
    <w:p>
      <w:r>
        <w:t>Die Übernehmerin beantragt im bundesgerichtlichen Verfahren auch, die Vorinstanz sei anzuweisen, ihr umfassende Akteneinsicht zu gewähren. Zur Beurteilung eines solchen Begehrens ist das Bundesgericht nicht zuständig. Gesuche um Akteneinsicht sind bei der verfahrensleitenden Behörde zu erheben, hier beim Bundesverwaltungsgericht (iudex a quo). Insofern ist auf die Beschwerde von vornherein nicht einzutreten.</w:t>
      </w:r>
    </w:p>
    <w:p>
      <w:r>
        <w:rPr>
          <w:b/>
        </w:rPr>
        <w:t>E. 1.3</w:t>
      </w:r>
    </w:p>
    <w:p>
      <w:r>
        <w:t>Das Bundesgericht wendet das Bundesgesetzesrecht von Amtes wegen an ( Art. 106 Abs. 1 BGG ; BGE 146 IV 88 E. 1.3.2 S. 92) und prüft es mit uneingeschränkter (voller) Kognition ( Art. 95 lit. a BGG ; BGE 145 I 239 E. 2 S. 241).</w:t>
      </w:r>
    </w:p>
    <w:p>
      <w:r>
        <w:rPr>
          <w:b/>
        </w:rPr>
        <w:t>E. 1.4</w:t>
      </w:r>
    </w:p>
    <w:p>
      <w:r>
        <w:t>Das Bundesgericht legt seinem Urteil den Sachverhalt zugrunde, den die Vorinstanz festgestellt hat ( Art. 105 Abs. 1 BGG ; BGE 146 IV 114 E. 2.1 S. 118).</w:t>
      </w:r>
    </w:p>
    <w:p>
      <w:r>
        <w:rPr>
          <w:b/>
        </w:rPr>
        <w:t>E. 2.1</w:t>
      </w:r>
    </w:p>
    <w:p>
      <w:r>
        <w:t>Gemäss Art. 53 des Bundesgesetzes vom 20. Dezember 1968 über das Verwaltungsverfahren (VwVG; SR 172.021) gilt:</w:t>
      </w:r>
    </w:p>
    <w:p>
      <w:r>
        <w:t>"Erfordert es der aussergewöhnliche Umfang oder die besondere Schwierigkeit einer Beschwerdesache, so gestattet die Beschwerdeinstanz dem Beschwerdeführer, der darum in seiner sonst ordnungsgemäss eingereichten Beschwerde nachsucht, deren Begründung innert einer angemessenen Nachfrist zu ergänzen; in diesem Falle findet Art. 32 Abs. 2 keine Anwendung."</w:t>
      </w:r>
    </w:p>
    <w:p>
      <w:r>
        <w:t>Abgesehen von den gesetzlichen Erfordernissen (aussergewöhnlicher Umfang oder besondere Schwierigkeit der Sache) ist die Rechtswohltat der ergänzenden Beschwerdeschrift restriktiv zu handhaben ("art. 53 ne saurait avoir pour effet de prolonger le délai légal de recours. Par conséquent, si les conclusions adoptées dans le délai légal peuvent faire l'objet ultérieurement d'une motivation complémentaire, elles ne sauraient en revanche être modifiées, en tout cas pas dans le sens d'une extension"; Urteil 2C_292/2010 vom 28. April 2011 E. 1.4.2). Wie die Vorinstanz zutreffend ausgeführt hat, kann Art. 53 VwVG ebenso wenig dazu dienen, das Verfahren zu verzögern (Urteil 2A.160/2004 vom 9. Juni 2005 E. 3.1, nicht publ. in: BGE 131 II 533 ).</w:t>
      </w:r>
    </w:p>
    <w:p>
      <w:r>
        <w:rPr>
          <w:b/>
        </w:rPr>
        <w:t>E. 2.2</w:t>
      </w:r>
    </w:p>
    <w:p>
      <w:r>
        <w:t>Die Übernehmerin hat mit der Übertragerin am 11. Dezember 2015 einen Kaufvertrag geschlossen, in dessen Rahmen der Taxibetrieb überführt wurde (Sachverhalt, lit. A.c). Die Verfügungen der ESTV ergingen alsdann am 5. April 2016 und die Einspracheentscheide, adressiert an die Übernehmerin, am 11. September 2017 (Sachverhalt, lit. A.d). Der Übernehmerin musste spätestens ab dem 11. September 2017 bewusst gewesen sein, dass die ESTV sie als Steuernachfolgerin der Übertragerin ins Recht fassen könnte. Dies ändert nichts daran, dass die Steuernachfolge - wie sie vom Bundesgericht in BGE 146 II 73 im Anwendungsbereich des vorrevidierten und des geltenden Mehrwertsteuerrechts bestätigt wurde - von Gesetzes wegen am 11. Dezember 2015 eingetreten war.</w:t>
      </w:r>
    </w:p>
    <w:p>
      <w:r>
        <w:rPr>
          <w:b/>
        </w:rPr>
        <w:t>E. 2.3</w:t>
      </w:r>
    </w:p>
    <w:p>
      <w:r>
        <w:t>Die Vorinstanz führt in ihrer Zwischenverfügung vom 5. November 2020 aus, dass die Übernehmerin in ihren Beschwerdeschriften vom 2. Oktober 2017 nicht vorgebracht habe, die Sache erweise sich als aussergewöhnlich umfangreich oder besonders schwierig ( Art. 53 VwVG ; Sachverhalt, lit. B.b). Diese tatsächliche Feststellung ist für das Bundesgericht verbindlich ( Art. 105 Abs. 1 BGG ; vorne E. 1.4), nachdem die Übernehmerin nicht geltend macht, die vorinstanzliche Feststellung sei offensichtlich unrichtig ( Art. 105 Abs. 2 und Art. 97 Abs. 1 BGG ; BGE 146 I 83 E. 1.3 S. 86). "Offensichtlich unrichtig" ist mit "willkürlich" gleichzusetzen ( BGE 146 IV 88 E. 1.3.1 S. 91 f.). Die Übernehmerin betont vielmehr, dass sie im Einspracheverfahren keine Parteieigenschaft eingenommen und die Akten nicht zur Verfügung gehabt habe.</w:t>
      </w:r>
    </w:p>
    <w:p>
      <w:r>
        <w:rPr>
          <w:b/>
        </w:rPr>
        <w:t>E. 2.4</w:t>
      </w:r>
    </w:p>
    <w:p>
      <w:r>
        <w:t>Diese Einwände überzeugen nicht: Bei der Übertragung des Taxibetriebs hat es sich offenkundig um ein Rechtsgeschäft zwischen zwei Gesellschaften gehandelt, die ihrerseits von nahestehenden Personen gehalten werden. Wie dem Handelsregister entnommen werden kann, in welches das Bundesgericht Einblick nehmen darf ( BGE 139 II 404 E. 7.3.3 S. 431), war der Vater (B.C.________) zeitweilig als Gesellschafter und Geschäftsführer, zeitweilig als Vorsitzender der Geschäftsführung der Übertragerin tätig, während die Tochter (A.C.________) zeitweilig als Gesellschafterin und Geschäftsführerin wirkte. Auf Ebene der Übernehmerin ist der Vater bis heute als Vorsitzender der Geschäftsführung und die Tochter als Gesellschafterin und Geschäftsführerin eingetragen. Die angebliche Ahnungslosigkeit über die geschäftlichen Vorgänge auf Ebene der Übertragerin, welche die Übernehmerin für sich beansprucht, wirkt vor diesem Hintergrund als konstruiert und höchst unglaubwürdig.</w:t>
      </w:r>
    </w:p>
    <w:p>
      <w:r>
        <w:rPr>
          <w:b/>
        </w:rPr>
        <w:t>E. 2.5</w:t>
      </w:r>
    </w:p>
    <w:p>
      <w:r>
        <w:t>Von einer "Verkürzung des Rechtswegs um eine Instanz", welche die Übernehmerin ferner beanstandet, kann ebenso wenig die Rede sein. Die Steuernachfolge äussert sich verfahrensrechtlich dahingehend, dass die Übernehmerin anstelle der Übertragerin in das Verfahren eintritt. Etwaige prozessuale Unterlassungen der Übertragerin hat die Übernehmerin sich aufgrund der eingetretenen Universalsukzession ( Art. 69 ff. des Bundesgesetzes vom 3. Oktober 2003 über Fusion, Spaltung, Umwandlung und Vermögensübertragung [FusG; SR 221.301] ; BGE 146 II 73 E. 2.3.3 S. 78) anrechnen zu lassen.</w:t>
      </w:r>
    </w:p>
    <w:p>
      <w:r>
        <w:rPr>
          <w:b/>
        </w:rPr>
        <w:t>E. 2.6</w:t>
      </w:r>
    </w:p>
    <w:p>
      <w:r>
        <w:t>Die Beschwerde erweist sich damit als unbegründet. Sie ist abzuweisen, soweit darauf einzutreten ist. Die Vorinstanz hat die Übernehmerin bereits auf die Möglichkeit von Art. 32 Abs. 2 VwVG ("Verspätete Parteivorbringen, die ausschlaggebend erscheinen, kann sie trotz der Verspätung berücksichtigen") hingewiesen (Sachverhalt, lit. B.b). Mit dem vorliegenden Entscheid wird das Gesuch, der Beschwerde sei die aufschiebende Wirkung zuzuerkennen ( Art. 103 Abs. 3 BGG ), gegenstandslos ( BGE 144 V 388 E. 10 S. 410).</w:t>
      </w:r>
    </w:p>
    <w:p>
      <w:r>
        <w:rPr>
          <w:b/>
        </w:rPr>
        <w:t>E. 3</w:t>
      </w:r>
    </w:p>
    <w:p>
      <w:r>
        <w:t>Nach dem Unterliegerprinzip hat die Übernehmerin die Kosten des bundesgerichtlichen Verfahrens zu tragen ( Art. 66 Abs. 1 BGG ). Der Eidgenossenschaft, die in ihrem amtlichen Wirkungskreis obsiegt,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