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2C_1002/2019 vom 4. Dezember 2019</w:t>
      </w:r>
    </w:p>
    <w:p>
      <w:r>
        <w:t>Bundesgericht, 2019-12-04, DE</w:t>
      </w:r>
    </w:p>
    <w:p>
      <w:r>
        <w:rPr>
          <w:b/>
        </w:rPr>
        <w:t xml:space="preserve">Quelle: </w:t>
      </w:r>
      <w:r>
        <w:t>https://mcp.opencaselaw.ch/entscheid/bger_2C_1002_2019</w:t>
      </w:r>
    </w:p>
    <w:p>
      <w:r>
        <w:t>FR: TF 2C_1002/2019 du 4 décembre 2019</w:t>
      </w:r>
    </w:p>
    <w:p>
      <w:r>
        <w:t>IT: TF 2C_1002/2019 del 4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2C_1002/2019</w:t>
      </w:r>
    </w:p>
    <w:p>
      <w:r>
        <w:t>Urteil vom 4. Dezember 2019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Kantonales Steueramt Zürich,</w:t>
      </w:r>
    </w:p>
    <w:p>
      <w:r>
        <w:t>Dienstabteilung Recht,</w:t>
      </w:r>
    </w:p>
    <w:p>
      <w:r>
        <w:t>Gegenstand</w:t>
      </w:r>
    </w:p>
    <w:p>
      <w:r>
        <w:t>Staats- und Gemeindesteuern des Kantons Zürich und direkte Bundessteuer, Steuerperiode 2016,</w:t>
      </w:r>
    </w:p>
    <w:p>
      <w:r>
        <w:t>Beschwerde gegen das Urteil des Verwaltungsgerichts des Kantons Zürich, 2. Abteilung, Einzelrichter, vom 22. Oktober 2019 (SB.2019.00075 / SB.2019.00076).</w:t>
      </w:r>
    </w:p>
    <w:p>
      <w:r>
        <w:t>Nach Einsicht</w:t>
      </w:r>
    </w:p>
    <w:p>
      <w:r>
        <w:t>in den Entscheid SB.2019.00075 / SB.2019.00076 des Verwaltungsgerichts des Kantons Zürich, 2. Abteilung, vom 22. Oktober 2019, worin das Verwaltungsgericht die Beschwerden von A.________ (nachfolgend: die Steuerpflichtige) betreffend die Staats- und Gemeindesteuern des Kantons Zürich und die direkte Bundessteuer, Steuerperiode 2016, abweist und ihr, in Abweisung des Gesuchs um Erteilung des Rechts zur unentgeltlichen Rechtspflege, Kosten von insgesamt Fr. 1'140.-- auferlegt,</w:t>
      </w:r>
    </w:p>
    <w:p>
      <w:r>
        <w:t>in die Eingabe der Steuerpflichtigen vom 30. November 2019 (Postaufgabe: 2. Dezember 2019), mit welcher diese beim Bundesgericht sinngemäss Beschwerde in öffentlich-rechtlichen Angelegenheiten erhebt, wobei Antrag und Begründung ausschliesslich im Text "Antrag auf URP!!! Antrag auf URB!!!" bestehen,</w:t>
      </w:r>
    </w:p>
    <w:p>
      <w:r>
        <w:t>in Erwägung,</w:t>
      </w:r>
    </w:p>
    <w:p>
      <w:r>
        <w:t>dass eine Beschwerde an das Bundesgericht einen Antrag und eine Begründung enthalten muss ( Art. 42 Abs. 1 und 2 BGG ),</w:t>
      </w:r>
    </w:p>
    <w:p>
      <w:r>
        <w:t>dass dies auch dann innert der Beschwerdefrist erfolgen muss, wenn unentgeltliche Rechtspflege beantragt wird,</w:t>
      </w:r>
    </w:p>
    <w:p>
      <w:r>
        <w:t>dass die Steuerpflichtige keinerlei Begründung vorbringt,</w:t>
      </w:r>
    </w:p>
    <w:p>
      <w:r>
        <w:t>dass das Bundesgericht auf bloss allgemein gehaltene, appellatorische Kritik am vorinstanzlichen Entscheid nicht eingeht ( BGE 145 I 121 E. 2.1 S. 133),</w:t>
      </w:r>
    </w:p>
    <w:p>
      <w:r>
        <w:t>dass eine solche angesichts der inzwischen abgelaufenen Beschwerdefrist auch nicht mehr ergänzt werden könnte,</w:t>
      </w:r>
    </w:p>
    <w:p>
      <w:r>
        <w:t>dass die vorliegende Beschwerde daher offensichtlich keine hinreichende Begründung enthält, weshalb darauf mit Entscheid des Abteilungspräsidenten als Einzelrichter nicht einzutreten ist ( Art. 108 Abs. 1 lit. b BGG ),</w:t>
      </w:r>
    </w:p>
    <w:p>
      <w:r>
        <w:t>dass mit Blick auf die besonderen Umstände für das bundesgerichtliche Verfahren von einer Kostenverlegung abgesehen werden kann ( Art. 66 Abs. 1 Satz 2 BGG ) und dem Kanton Zürich, der in seinem Wirkungskreis obsiegt, keine Parteientschädigung zuzusprechen ist ( Art. 68 Abs. 3 BGG ).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Für das bundesgerichtliche Verfahren werden keine Kosten erhoben.</w:t>
      </w:r>
    </w:p>
    <w:p>
      <w:r>
        <w:t>3.</w:t>
      </w:r>
    </w:p>
    <w:p>
      <w:r>
        <w:t>Dieses Urteil wird den Verfahrensbeteiligten, dem Verwaltungsgericht des Kantons Zürich, 2. Abteilung, Einzelrichter, und der Eidgenössischen Steuerverwaltung schriftlich mitgeteilt.</w:t>
      </w:r>
    </w:p>
    <w:p>
      <w:r>
        <w:t>Lausanne, 4. Dezember 2019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