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1000/2021 vom 29. Dezember 2022</w:t>
      </w:r>
    </w:p>
    <w:p>
      <w:r>
        <w:t>Bundesgericht, 2022-12-29, DE</w:t>
      </w:r>
    </w:p>
    <w:p>
      <w:r>
        <w:rPr>
          <w:b/>
        </w:rPr>
        <w:t xml:space="preserve">Quelle: </w:t>
      </w:r>
      <w:r>
        <w:t>https://mcp.opencaselaw.ch/entscheid/bger_2C_1000_2021</w:t>
      </w:r>
    </w:p>
    <w:p>
      <w:r>
        <w:t>FR: TF 2C 1000/2021 du 29 décembre 2022</w:t>
      </w:r>
    </w:p>
    <w:p>
      <w:r>
        <w:t>IT: TF 2C 1000/2021 del 29 dicembre 2022</w:t>
      </w:r>
    </w:p>
    <w:p>
      <w:pPr>
        <w:pStyle w:val="Heading2"/>
      </w:pPr>
      <w:r>
        <w:t>Regeste</w:t>
      </w:r>
    </w:p>
    <w:p>
      <w:r>
        <w:t>Staats- und Gemeindesteuern des Kantons Zürich und direkte Bundessteuer, Steuerperioden 2008 und 2009 | Öffentliche Finanzen &amp; Abgaberecht</w:t>
      </w:r>
    </w:p>
    <w:p>
      <w:pPr>
        <w:pStyle w:val="Heading2"/>
      </w:pPr>
      <w:r>
        <w:t>Erwägungen</w:t>
      </w:r>
    </w:p>
    <w:p>
      <w:r>
        <w:rPr>
          <w:b/>
        </w:rPr>
        <w:t>E. 1.1</w:t>
      </w:r>
    </w:p>
    <w:p>
      <w:r>
        <w:t>Beim angefochtenen Urteil handelt es sich um einen kantonal letztinstanzlichen Entscheid über die Einkommens- und Vermögenssteuern. Dagegen steht gemäss Art. 82 ff. BGG in Verbindung mit Art. 146 des Bundesgesetzes vom 14. Dezember 1990 über die direkte Bundessteuer (DBG; SR 642.11) und Art. 73 Abs. 1 des Bundesgesetzes vom 14. Dezember 1990 über die Harmonisierung der direkten Steuern der Kantone und Gemeinden (StHG; SR 642.14) grundsätzlich die Beschwerde in öffentlich-rechtlichen Angelegenheiten an das Bundesgericht offen.</w:t>
      </w:r>
    </w:p>
    <w:p>
      <w:r>
        <w:rPr>
          <w:b/>
        </w:rPr>
        <w:t>E. 1.2</w:t>
      </w:r>
    </w:p>
    <w:p>
      <w:r>
        <w:t>Gegenstand des angefochtenen Urteils sind die direkte Bundessteuer sowie die Staats- und Gemeindesteuern für die Steuerjahre 2008 und 2009. Die Beschwerdeführer fechten in einer einzigen Rechtsschrift auch das am gleichen Tag ergangene Urteil des Verwaltungsgerichts an, das die Grundstückgewinnsteuer des Beschwerdeführers Nr. 1 betrifft. Die Beschwerdeführer unterscheiden dabei zwischen der Einkommenssteuer einerseits und der Grundstückgewinnsteuer andererseits und stellen für beide Steuerarten die gleichen Anträge. Dieses Vorgehen ist nicht zu beanstanden.</w:t>
      </w:r>
    </w:p>
    <w:p>
      <w:r>
        <w:rPr>
          <w:b/>
        </w:rPr>
        <w:t>E. 1.3</w:t>
      </w:r>
    </w:p>
    <w:p>
      <w:r>
        <w:t>Das Bundesgericht hat für die Grundstückgewinnsteuer (2C_999/2021) und für die Einkommenssteuer (2C_1000/2021) jeweils getrennte Dossiers angelegt. Soweit die Beschwerdeführer durch das Einreichen einer einzigen Rechtsschrift zumindest implizit die Vereinigung der Verfahren beantragen, mangelt es bereits an einer rechtsgenügenden Begründung des Antrags. Eine Vereinigung drängt sich überdies auch nicht auf ( Art. 71 BGG i.V.m. Art. 24 des Bundesgesetzes vom 4. Dezember 1947 über den Bundeszivilprozess [BZP; SR 273] ). Verfahrensbeteiligte im Verfahren betreffend Grundstückgewinnsteuer sind der Beschwerdeführer Nr. 1 als Veräusserer der elf Stockwerkeigentumseinheiten sowie die Stadt W.________. Im Verfahren betreffend Einkommenssteuer steht zudem die Ehefrau des Beschwerdeführers Nr. 1 auf Seite der Beschwerdeführer, während anstelle der Stadt W.________ das Kantonale Steueramt Zürich Beschwerdegegner ist. Damit stehen sich in den bundesgerichtlichen Verfahren teilweise andere Verfahrensbeteiligte gegenüber. Zudem knüpft die Grundstückgewinnsteuer an die Veräusserung von Grundstücken an und hat als Objektsteuer eine andere tatsächliche und rechtliche Grundlage als die allgemeine Einkommenssteuer; dass es sich um harmonisierte Steuern handelt und Interdependenzen geltend gemacht werden, ändert daran nichts. Aus demselben Grund durfte auch die Vorinstanz darauf verzichten, die kantonalen Beschwerdeverfahren zu vereinigen.</w:t>
      </w:r>
    </w:p>
    <w:p>
      <w:r>
        <w:rPr>
          <w:b/>
        </w:rPr>
        <w:t>E. 2.1</w:t>
      </w:r>
    </w:p>
    <w:p>
      <w:r>
        <w:t>Rechtsschriften haben die Begehren und deren Begründung zu enthalten ( Art. 42 Abs. 1 BGG ). Die Begründungspflicht gilt auch hinsichtlich den Prozessvoraussetzungen, soweit diese nicht klar gegeben sind. Namentlich bei unklarer Legitimation hat die beschwerdeführende Partei die Tatsachen darzulegen, aus denen sich ihre Beschwerdeberechtigung ergeben soll ( BGE 141 IV 289 E. 1.3; 141 IV 1 E. 1.1).</w:t>
      </w:r>
    </w:p>
    <w:p>
      <w:r>
        <w:rPr>
          <w:b/>
        </w:rPr>
        <w:t>E. 2.2</w:t>
      </w:r>
    </w:p>
    <w:p>
      <w:r>
        <w:t>Das Beschwerderecht setzt insbesondere voraus, dass die beschwerdeführende Person ein schutzwürdiges Interesse an der Aufhebung oder Änderung des angefochtenen Entscheids hat ( Art. 89 Abs. 1 lit. c BGG ). Das schutzwürdige Interesse besteht im praktischen Nutzen, der sich ergibt, wenn der Beschwerdeführer mit seinem Anliegen obsiegt und dadurch seine tatsächliche oder rechtliche Situation unmittelbar beeinflusst werden kann ( BGE 147 I 478 E. 2.2; 141 II 14 E. 4.4). Zu verlangen ist folglich, dass die Situation der beschwerdeführenden Person durch den Ausgang des Verfahrens überhaupt in rechtserheblicher Weise verbessert werden kann ( BGE 139 II 499 E. 2.2). Kein rechtserhebliches Rechtsschutzinteresse liegt vor, wenn selbst die Gutheissung des Rechtsmittels zu keinem anderen Ergebnis führen würde oder Rechtsfragen aufgeworfen werden, die im betreffenden Fall von keinerlei Bedeutung sind (Urteile 2C_392/2020 vom 1. Juli 2020 E. 2.3.2; 2C_514/2017 vom 13. Dezember 2017 E. 2.2.2). Ergibt sich eine sog. Nullveranlagung, fehlt es der steuerpflichtigen Person regelmässig an einem Feststellungs- oder einem andersartigen Rechtsschutzinteresse, das sie zur Anfechtung des Entscheids berechtigen könnte ( BGE 140 I 114 E. 2.4.1). Anders könnte es sich verhalten, wenn die Nullveranlagung - trotz Fehlens einer zurzeit zu bezahlenden Steuer - unmittelbare Rechtswirkungen entfaltet, deren Klärung keinen Aufschub erduldet (Urteil 2C_514/2017 vom 13. Dezember 2017 E. 2.3.2). Von einem schutzwürdigen Interesse an der Aufhebung oder Änderung eines angefochtenen Entscheids ist etwa auszugehen, wenn - sofern es sich um keine Nullveranlagung handelt - um eine tiefere Veranlagung nachgesucht wird. Ausnahmsweise ist das Rechtsschutzinteresse auch bei beantragter Höherveranlagung zu bejahen, nämlich dann, wenn dadurch in einer Folgeperiode niedrigere Steuern anfallen oder ein ansonsten drohendes Nachsteuer- oder Steuerhinterziehungsverfahren abgewendet werden kann (vgl. Urteil 2C_392/2020 vom 1. Juli 2020, Sachverhalt F. und E. 2.4.3.).</w:t>
      </w:r>
    </w:p>
    <w:p>
      <w:r>
        <w:rPr>
          <w:b/>
        </w:rPr>
        <w:t>E. 2.3.1</w:t>
      </w:r>
    </w:p>
    <w:p>
      <w:r>
        <w:t>In Art. 58 Abs. 1 lit. a und Art. 18 Abs. 3 DBG (bzw. § 64 Abs. 1 Ziff. 1 und § 18 Abs. 4 des Steuergesetzes [des Kantons Zürich] vom 8. Juni 1997 [StG/ZH; LS 631.1]) findet der Grundsatz der Massgeblichkeit der Handelsbilanz für die Steuerbilanz (principe de l'autorité du bilan commercial ou de déterminance; BGE 143 II 8 E. 7.1), kurz Massgeblichkeitsprinzip genannt, eine ausdrückliche gesetzliche Grundlage (vgl. Urteil 2C_426/2019 vom 12. Juli 2019 E. 2.2.2). Als Folge des Massgeblichkeitsprinzips sind handelsrechtswidrige Bilanzen für steuerliche Zwecke zu berichtigen, d.h. handelsrechtswidrige sind durch handelsrechtskonforme Wertansätze zu ersetzen (Urteil 2C_102/2018 vom 15. November 2018 E. 3.2.2). Bilanzberichtigungen dienen damit der Behebung von Verstössen gegen das Handelsrecht und sind von Amtes wegen durchzuführen, bis die Veranlagungsverfügung in Rechtskraft erwachsen ist. Sie schlagen sich in der Steuerbilanz nieder und können zugunsten oder zuungunsten der steuerpflichtigen Person ausfallen ( BGE 144 II 427 E. 6.5.1; 141 II 83 E. 3.3).</w:t>
      </w:r>
    </w:p>
    <w:p>
      <w:r>
        <w:rPr>
          <w:b/>
        </w:rPr>
        <w:t>E. 2.3.2</w:t>
      </w:r>
    </w:p>
    <w:p>
      <w:r>
        <w:t>Die Beschwerdeführer erblicken einen Verstoss gegen Bundesrecht, weil das kantonale Steueramt bei der Veranlagung der Einkommenssteuer für die Steuerjahre 2008 und 2009 handelsrechtswidrige Jahresrechnungen berücksichtigt habe. In den Jahrensrechnungen seien Eigenleistungen von Fr. 547'314.25 ausgewiesen worden, während bei der Grundstückgewinnsteuer insgesamt Fr. 684'254.27 berücksichtigt worden seien. Die Eigenhonorare im Differenzbetrag von Fr. 136'940.02 seien nicht verbucht worden, was handelsrechtswidrig sei.</w:t>
      </w:r>
    </w:p>
    <w:p>
      <w:r>
        <w:rPr>
          <w:b/>
        </w:rPr>
        <w:t>E. 2.3.3</w:t>
      </w:r>
    </w:p>
    <w:p>
      <w:r>
        <w:t>Vorab ist zu präzisieren, dass die veranlagende Steuerbehörde sehr wohl von einer handelsrechtswidrigen Jahresrechnung als Basis ausgehen darf, ja sogar muss, wenn ihr vom Steuerpflichtigen keine andere Jahresrechnung zur Verfügung gestellt wird. Die Steuerbehörden und -gerichte sind lediglich gehalten, als handelsrechtswidrig erkannte Ansätze bei der Veranlagung mit handelsrechtskonformen zu ersetzen. In diesem Sinn ist wohl die Forderung der Beschwerdeführer nach einem "Einschreiten gegen die nicht handelsrechtskonformen Jahresrechnungen" durch Steuerbehörden und Gerichte zu verstehen.</w:t>
      </w:r>
    </w:p>
    <w:p>
      <w:r>
        <w:rPr>
          <w:b/>
        </w:rPr>
        <w:t>E. 2.3.4</w:t>
      </w:r>
    </w:p>
    <w:p>
      <w:r>
        <w:t>Im Hinblick auf die Legitimation der Beschwerdeführer ist weder ersichtlich noch wird in der Beschwerde dargelegt, welches schutzwürdige Interesse sie an der Versteuerung höherer Eigenhonoraren haben. Namentlich behaupten die Beschwerdeführer nicht, dass die Eigenhonorare in späteren Steuerjahren (zu einer höheren Steuerprogression) steuerbar sein könnten oder ihnen ein Nach- oder Steuerstrafverfahren drohen könnte, wenn die Besteuerung des Differenzbetrags von Fr. 136'940.02 in den Steuerjahren 2008 und 2009 unterbleibt. Beides ist auch kaum vorstellbar, weil der späteren Erfassung der Eigenleistungen das steuerrechtliche Periodizitätsprinzip entgegensteht und es im Hinblick auf ein Nach- oder Steuerstrafverfahren an einer neuen Tatsache im Sinn von Art. 151 Abs. 1 DBG und § 160 Abs. 1 StG /ZH bzw. Art. 53 Abs. 1 StHG mangelt. Weiter hat die Versteuerung der Eigenhonorare bei der Einkommenssteuer keinen Einfluss auf das Verfahren betreffend Grundstückgewinnsteuer, das mit heutigem Urteil des Bundesgerichts 2C_999/2021 in Bestätigung des vorinstanzlichen Urteils rechtskräftig abgeschlossen worden ist. Folglich spielt es auch keine Rolle, dass sich die veranlagende Behörde bei den Grundstückgewinnsteuern nicht zu einer Korrektur der Eigenhonorare bei der Einkommenssteuer geäussert hat.</w:t>
      </w:r>
    </w:p>
    <w:p>
      <w:r>
        <w:rPr>
          <w:b/>
        </w:rPr>
        <w:t>E. 2.3.5</w:t>
      </w:r>
    </w:p>
    <w:p>
      <w:r>
        <w:t>Es kommt hinzu, dass die Beschwerdeführer nicht nur keine Ausführungen zu ihrem schutzwürdigen Interesse machen, sondern ihre Begründungspflicht nach Art. 42 Abs. 1 und 2 BGG auch insoweit verletzen, als dass sie sich nicht mit den vorinstanzlichen Erwägungen auseinandersetzen, wonach das Steuerrekursgericht zu Recht auf die Jahresrechnungen vom Juni/Juli 2016 abgestellt habe (vgl. E. 4 des angefochtenen Urteils).</w:t>
      </w:r>
    </w:p>
    <w:p>
      <w:r>
        <w:rPr>
          <w:b/>
        </w:rPr>
        <w:t>E. 2.4</w:t>
      </w:r>
    </w:p>
    <w:p>
      <w:r>
        <w:t>Soweit die Beschwerdeführer einen Verstoss gegen das Verbot der interkantonalen Doppelbesteuerung rügen, machen sie geltend, dass die Grundstückgewinnsteuer zu hoch ausfallen könnte, wenn interkantonale Verluste nicht angerechnet werden. Hinsichtlich der Einkommenssteuer sind die Beschwerdeführer aus der gerügten Verfassungsverletzung, die einzig auf die Reduktion der Grundstückgewinnsteuer zielt, demnach nicht beschwert.</w:t>
      </w:r>
    </w:p>
    <w:p>
      <w:r>
        <w:rPr>
          <w:b/>
        </w:rPr>
        <w:t>E. 2.5</w:t>
      </w:r>
    </w:p>
    <w:p>
      <w:r>
        <w:t>Schliesslich thematisieren die Beschwerdeführer die Zuordnung der Liegenschaften zum Geschäfts- und Privatvermögen, ohne darzulegen, welches schützenswerte Interesse sie in Bezug auf das bundesgerichtliche Verfahren an der Beurteilung dieser Rechtsfrage haben; sie stellen diesbezüglich auch keine Anträge. Ob die Beschwerdeführer damit neue Tatsachen (vgl. Art. 99 BGG ) vorbringen, die vom Verwaltungsgericht nicht beurteilt worden waren, wie die Beschwerdegegnerin geltend macht, kann daher offen bleiben.</w:t>
      </w:r>
    </w:p>
    <w:p>
      <w:r>
        <w:rPr>
          <w:b/>
        </w:rPr>
        <w:t>E. 3</w:t>
      </w:r>
    </w:p>
    <w:p>
      <w:r>
        <w:t>Zusammenfassend legen die Beschwerdeführer ihr aktuelles und praktisches Rechtsschutzinteresse weder dar noch ist ein solches ersichtlich. Zudem setzen sie sich in Verletzung ihrer Begründungspflicht nicht mit den vorinstanzlichen Erwägungen auseinander. Deshalb geht es auch von vornherein nicht an, die Angelegenheit zur Abklärung des Sachverhalts an die Vorinstanz zurückzuweisen. Auf die Beschwerde ist daher im bundesgerichtlichen Verfahren nicht einzutreten.</w:t>
      </w:r>
    </w:p>
    <w:p>
      <w:r>
        <w:rPr>
          <w:b/>
        </w:rPr>
        <w:t>E. 4</w:t>
      </w:r>
    </w:p>
    <w:p>
      <w:r>
        <w:t>Dem Verfahrensausgang entsprechend tragen die Beschwerdeführer solidarisch die Gerichtskosten ( Art. 66 Abs. 1 und 5 BGG ). Parteientschädigungen sind keine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