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2C.1/1998 vom 21. Februar 2000</w:t>
      </w:r>
    </w:p>
    <w:p>
      <w:r>
        <w:t>Bundesgericht, 2000-02-21, FR</w:t>
      </w:r>
    </w:p>
    <w:p>
      <w:r>
        <w:rPr>
          <w:b/>
        </w:rPr>
        <w:t xml:space="preserve">Quelle: </w:t>
      </w:r>
      <w:r>
        <w:t>https://mcp.opencaselaw.ch/entscheid/bger_2C.1_1998</w:t>
      </w:r>
    </w:p>
    <w:p>
      <w:r>
        <w:t>FR: TF 2C.1/1998 du 21 février 2000</w:t>
      </w:r>
    </w:p>
    <w:p>
      <w:r>
        <w:t>IT: TF 2C.1/1998 del 21 febbraio 2000</w:t>
      </w:r>
    </w:p>
    <w:p>
      <w:pPr>
        <w:pStyle w:val="Heading2"/>
      </w:pPr>
      <w:r>
        <w:t>Regeste</w:t>
      </w:r>
    </w:p>
    <w:p>
      <w:r>
        <w:t>Responsabilité de l'État</w:t>
      </w:r>
    </w:p>
    <w:p>
      <w:pPr>
        <w:pStyle w:val="Heading2"/>
      </w:pPr>
      <w:r>
        <w:t>Erwägungen</w:t>
      </w:r>
    </w:p>
    <w:p>
      <w:r>
        <w:rPr>
          <w:b/>
        </w:rPr>
        <w:t>E. 2</w:t>
      </w:r>
    </w:p>
    <w:p>
      <w:r>
        <w:t>Condamner la République et canton de Genève à payer 146'533. 30 fr. à M. C.H.________, en sa qualité de représentant légal de M.H.________.</w:t>
      </w:r>
    </w:p>
    <w:p>
      <w:r>
        <w:rPr>
          <w:b/>
        </w:rPr>
        <w:t>E. 3</w:t>
      </w:r>
    </w:p>
    <w:p>
      <w:r>
        <w:t>Si la créance n'était pas prescrite, l'action devrait de toute manière être rejetée sur ce point, car la demanderesse n'a démontré, ni l'existence d'un tort moral, ni l'illicéité de la détention. a) Selon la jurisprudence, le comportement d'un magistrat ou d'un fonctionnaire est illicite lorsqu'il viole des injonctions ou des interdictions de l'ordre juridique destinées à protéger le bien lésé. Une telle violation peut résider dans l'excès ou l'abus du pouvoir d'appréciation laissé par la loi au magistrat ou au fonctionnaire. Est également considérée comme illicite la violation de principes généraux du droit. Cette définition est utilisée par le Tribunal fédéral aussi bien en matière de responsabilité fondée sur la loi fédérale sur la responsabilité de la Confédération (LRCF; RS 170. 32) qu'en matière de droit cantonal, en l'absence d'une disposition particulière. Toute illégalité ne peut cependant pas être qualifiée d'acte illicite lorsqu'on a affaire non pas à une action matérielle illégale, mais à une décision administrative. Comme en matière de responsabilité du juge, on doit considérer que si l'autorité ou le magistrat qui a interprété la loi fait usage de son pouvoir d'appréciation, ou de la latitude que lui laisse une notion juridique imprécise, d'une manière conforme à ses devoirs, son activité ne peut pas être tenue pour illicite du seul fait que son appréciation ou son interprétation n'est pas retenue par une autorité supérieure ou de recours saisie du cas par la suite ( ATF 112 II 231 consid. 4 p. 234 et les références citées). L'illicéité du comportement du juge, dans l'exercice du pouvoir juridictionnel, suppose un manquement caractérisé qui n'est pas réalisé du seul fait déjà qu'une décision se révèle après coup dénuée de fondement, contraire à la loi, voire arbitraire au sens de l' art. 4 Cst. ( ATF 120 Ib 248 consid. 2b p. 249). Pour qu'une décision puisse être qualifiée d'illicite, il faut une violation grave du droit, réalisée par exemple lorsque le magistrat ou l'autorité abuse de son pouvoir d'appréciation ou l'excède, lorsqu'il viole un texte clair, méconnaît un principe général du droit, n'instruit pas un dossier correctement ou agit par malveillance. Lorsque la responsabilité de l'Etat n'est engagée qu'en cas de faute, comme en l'espèce, on peut admettre qu'un magistrat n'en commet pas s'il ne viole pas un devoir primordial de sa fonction ( ATF 112 II 231 consid. 4 p. 235). b) Pour les demandeurs, l'arrestation, puis la prolongation de la détention de V.H.________ étaient illicites, car contraires à la définition et aux conditions du mandat d'arrêt, soit aux art. 17 al. 2 Cst. gen. , 33 du code de procédure pénale du canton de Genève du 29 septembre 1977 (CPP gen. ) et 5 par. 1 CEDH. Selon cette dernière disposition conventionnelle, nul ne peut être privé de sa liberté, sauf dans les cas mentionnés expressément et selon les voies légales, notamment "s'il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(art. 5 par. 1 lettre c CEDH)". Il y a soupçon plausible au sens de cette disposition s'il existe des faits ou des renseignements propres à persuader un observateur objectif que l'individu en cause peut avoir accompli l'infraction. Ce qui peut passer pour plausible dépend de l'ensemble des circonstances (CourEDH, arrêt Fox c. Royaume-Uni du 30 août 1990, série A no 182, p. 16 par. 31). Les articles 34 (dont la teneur est identique à l' art. 17 al. 2 Cst. gen. ) et 145 CPP gen. décrivent les conditions auxquelles un mandat d'arrêt peut être décerné, puis prolongé; ils s'expriment dans des termes analogues à l' art. 5 par. 1 CEDH précité et n'y ajoutent rien d'essentiel pour la présente cause. Souvent, au début d'une enquête, le juge d'instruction ne peut se fonder que sur des indices pour décider de la nécessité d'une incarcération. Cela est particulièrement vrai en cas de trafic de stupéfiants qui implique en général plusieurs participants, trafiquants et consommateurs, où les risques de collusion sont particulièrement grands et où les preuves sont difficiles à réunir. c) En l'espèce, les demandeurs soutiennent que les seules charges pouvant être retenues contre V.H.________ étaient la détention de cocaïne et la consommation occasionnelle de cette drogue. Or, l'instruction a démontré que l'intéressée pouvait objectivement apparaître comme ayant fait davantage que simplement consommé de la cocaïne. Outre ses dénégations initiales qu'elle a ensuite contredites peu à peu, la présence de ses empreintes sur un emballage ayant contenu de la cocaïne et son activité d'intermédiaire dans les contacts entre son mari et d'autres personnes impliquées dans le trafic de stupéfiants constituaient de sérieux indices. La déclaration qu'elle a signée devant le juge d'instruction établissait aussi une certaine collaboration à l'activité délictueuse de son mari qu'il se justifiait au moins d'éclaircir. Ainsi, son arrestation, même appréciée après coup, n'apparaît nullement arbitraire et encore moins illicite. Quant à la prolongation de la détention, elle serait sans doute discutable si le trafic reproché à son mari n'avait pas revêtu l'ampleur que révèle le dossier (voir ci-dessus lettre B des constatations de fait). Selon la jurisprudence, la durée de la détention doit en effet être proportionnée à la gravité des faits qui paraissent avoir été commis ( ATF 123 I 268 consid. 3a p. 273). Dans le cas de V.H.________ qui, après quelques jours d'enquête, ne pouvait en l'état se voir reprocher qu'une participation assez secondaire au trafic de stupéfiants commis par son mari, ainsi qu'une consommation modérée de drogue (on ignorait alors qu'elle était également consommatrice d'héroïne), une prolongation de la détention au-delà de la durée autorisée par la chambre d'accusation, soit jusqu'au 17 mars 1995, n'eût probablement pas été admissible, sous réserve de la découverte de faits nouveaux. L'action pénale dirigée contre V.H.________ s'étant éteinte avec son décès, la nature et l'importance de son activité délictueuse n'ont toutefois pas à être élucidées. En tout état de cause, et même si l'action n'était pas prescrite sur ce point, il n'apparaît pas que l'arrestation et la prolongation de la détention de V.H.________ aient été arbitraires au sens de l' art. 4 aCst. , ni a fortiori que les décisions prises à cet égard par les magistrats concernés aient été illicites.</w:t>
      </w:r>
    </w:p>
    <w:p>
      <w:r>
        <w:rPr>
          <w:b/>
        </w:rPr>
        <w:t>E. 4</w:t>
      </w:r>
    </w:p>
    <w:p>
      <w:r>
        <w:t>a) La situation se présente différemment en ce qui concerne la créance fondée sur le décès de V.H.________. Le délai de prescription ne pouvait en effet pas courir avant que l'enquête n'établisse les circonstances de la mort de V.H.________. Cette enquête a été close le 12 avril 1996 et les demandeurs en ont eu connaissance le 22 avril 1996. En mai 1995, les demandeurs savaient seulement que V.H.________ était décédée des suites d'une intoxication par l'héroïne. A ce stade du dossier, le décès pouvait avoir été causé par un suicide, l'acte criminel d'un tiers ou la négligence de magistrats, fonctionnaires ou autres agents de l'Etat. Il n'était donc pas possible d'exiger des demandeurs qu'ils ouvrent action avant de connaître tous les éléments essentiels permettant de se faire une idée plus précise des circonstances de ce décès et de l'auteur du dommage. La seconde réquisition de poursuite formée le 17 mars 1997 a ainsi interrompu la prescription à concurrence du montant réclamé, soit 150'000 fr. Le dépôt de la présente action le 13 janvier 1998 a derechef interrompu la poursuite, mais à concurrence de 150'000 fr. seulement. Des prétentions plus élevées concernant le décès de V.H.________ sont dès lors prescrites (voir supra consid. 2). A l'égard de la perte de soutien, les demandeurs objectent qu'ils n'en ont connu la quotité exacte que le 26 septembre 1997, date à laquelle la Commission de recours en matière AVS/AI a rejeté définitivement la requête de C.H.________ tendant à l'obtention d'une rente de veuf. Ce dernier aurait toutefois été en mesure de motiver sa demande en justice concernant la perte de soutien, au plus tard dès qu'il a connu les circonstances du décès de son épouse, en avril 1996. Seule aurait pu varier la quotité de cette perte, laquelle dépendait de la décision définitive concernant l'AVS. Le principe de la réparation n'était pas touché par cette décision et rien n'empêchait le demandeur de prendre des conclusions concernant la perte de soutien, quitte à les modifier par la suite. Les prétentions maximales des demandeurs pour tort moral et perte de soutien ne peuvent donc s'élever qu'à 150'000 fr. et non à 395'242 fr.40 comme ils le réclament dans leurs conclusions. Il y a donc lieu d'entrer en matière sur ces prétentions dans cette limite. Quant à la question de l'éventuelle prescription plus longue que justifieraient des actes punissables pénalement commis par des magistrats ou fonctionnaires de l'Etat, elle sera examinée en relation avec l'analyse des actes prétendument illicites qui, selon les demandeurs, auraient favorisé le décès de V.H.________. b) Selon les demandeurs, même en l'absence de mesures adéquates de surveillance, le seul fait d'avoir placé V.H.________ en détention préventive, alors qu'il n'existait pas de charges suffisantes contre elle, était de nature à créer un lien de causalité adéquate avec son décès, car la détention préventive constituait "une situation de danger particulière qui, dans les circonstances de ce cas, pouvaient conduire à une consommation excessive de stupéfiants pouvant entraîner la mort". Or, comme on l'a vu, l'arrestation et le maintien en détention de V.H.________ étaient fondés sur des motifs compatibles avec les l' art. 5 par. 1 CEDH et les dispositions du code genevois de procédure pénale. Ces mesures étaient donc licites et elles ne pouvaient justifier en elles-mêmes que l'Etat soit rendu responsable du décès de l'inculpée, sous réserve de sa responsabilité pour actes licites, question qui sera examinée plus loin (infra consid. 5). c) Les demandeurs reprochent aussi aux autorités pénitentiaires d'avoir placé dans la cellule de V.H.________ la détenue P.________, toxicomane, laquelle aurait été porteuse de doses d'héroïne qu'elle aurait remises à V.H.________; ils prétendent que cela aurait pu être évité, si une fouille corporelle intime de cette détenue avait été pratiquée à son entrée en prison. Or, il n'a pas été établi en fait, que ce soit par l'enquête ordonnée par le Procureur général ou par la présente procédure, que P.________ ait possédé de l'héroïne à son entrée en prison, ni qu'elle ait fourni de la drogue à V.H.________ durant la soirée du 4 mars 1995. Au vu des nombreux témoins entendus, il apparaît bien plus vraisemblable que cette drogue ait été transmise à V.H.________ par d'autres détenues, au moyen du système dit du "yo-yo". Il reste que de la drogue circule en prison, malgré toutes les précautions et les mesures de fouille des détenus prises par le personnel lors des entrées en prison et après chaque visite au parloir, de même qu'en fouillant systématiquement les colis. Certes, les fouilles des parties intimes - qui ne peuvent être pratiquées que de façon restrictive, par un médecin et sur demande de la police - pourraient sans doute réduire sensiblement le risque de circulation de drogue en prison. Mais de telles mesures sont graves et ne sauraient être appliquées sans réserve, sous peine de tomber sous le coup des art. 3 CEDH (interdiction de traitements dégradants) ou 8 CEDH (non respect de la vie privée), cette dernière disposition étant au demeurant applicable au prélèvement des urines ordonné en milieu carcéral (voir décision CommEDH du 22 février 1995 dans la cause Baragiola c. Suisse, D.R. 80/66 par. 1b). Pratiquer de tels examens de façon systématique sur toutes les détenues, même toxicomanes, se révélerait en outre sans proportion avec l'objectif à atteindre. On ne peut donc reprocher à l'Etat de ne pas y procéder pour toutes les détenues toxicomanes avant de les admettre en prison. En ce qui concerne P.________, au demeurant, la police n'avait pas estimé vraisemblable qu'elle ait caché des stupéfiants dans son corps. Certes, idéalement, la compagnie d'une codétenue non toxicomane eût peut-être été préférable pour V.H.________ qui supportait mal son incarcération et était dépressive, mais il n'y avait pas grand choix, presque toutes les détenues étant toxicomanes. Dans ces circonstances, la décision de placer P.________ avec V.H.________ en cellule ne saurait davantage être reproché au personnel de la prison. Cette décision apparaît même après coup comme opportune, car V.H.________, qui se plaignait de solitude, avait paru contente d'avoir de la compagnie et rien ne permet de retenir que cette codétenue lui ait fourni de la drogue. d) Il reste à examiner si l'état de santé de V.H.________ a fait, autant qu'on pouvait l'attendre, l'objet d'une surveillance adéquate de la part du personnel de la prison. A cet égard non plus, l'Etat ne peut se voir reprocher de ne pas avoir surveillé l'état de santé de l'intéressée de manière adéquate. V.H.________ présentait certes des symptômes d'anxiété et des troubles du sommeil, mais son état de santé n'avait pas particulièrement alarmé le personnel médical ou les gardiens, notamment en raison du fait qu'elle n'avait pas manifesté des intentions suicidaires. Les demandeurs prétendent que le règlement sur le régime intérieur de la prison a été violé, car le service médical n'était pas permanent. Ils ne démontrent toutefois pas en quoi la présence d'un médecin dans l'établissement le soir du 4 mars 1995 eût empêché le drame. Il est vrai que le soir en question, sur le conseil du personnel infirmier, V.H.________ avait écrit au médecin, qui ne se trouvait pas dans l'établissement, pour lui demander de lui prescrire un calmant journalier. Un comprimé d'anxiolytique lui a été administré et rien ne permet de dire qu'un autre traitement eût été indiqué ce soir-là ou qu'il l'eût dissuadée de consommer de l'héroïne. Au demeurant, le responsable du service médical de la prison a confirmé qu'un médecin peut être atteint en permanence durant le week-end. En définitive, il apparaît qu'aucune négligence ne peut être reprochée aux agents de l'Etat dans la façon dont V.H.________ a été surveillée et soignée durant son séjour en prison. Son décès, entraîné par l'ingestion, de son propre chef, d'une dose mortelle d'héroïne, ne peut pas être mis à la charge du défendeur. Les agents de l'Etat n'ont donc commis, en l'occurrence, aucun acte illicite au sens où l'entend la jurisprudence rappelée ci-dessus (supra consid. 3a). Aucun acte illicite et, a fortiori, aucune infraction pénalement punissable n'étant établis, la question de la prescription plus longue de l'action pénale ( art. 60 al. 2 CO) ne se pose pas.</w:t>
      </w:r>
    </w:p>
    <w:p>
      <w:r>
        <w:rPr>
          <w:b/>
        </w:rPr>
        <w:t>E. 5</w:t>
      </w:r>
    </w:p>
    <w:p>
      <w:r>
        <w:t>Au vu de ce qui précède, il y a lieu encore d'examiner si le défendeur peut être appelé, en équité, à réparer le dommage entraîné par l'incarcération suivie du décès de V.H.________, au sens de l' art. 4 LREC . Cette disposition stipule que l'Etat de Genève et les communes du canton ne sont tenus de réparer le dommage résultant pour des tiers d'actes licites commis par leurs magistrats, fonctionnaires ou agents dans l'exercice de leur fonction ou dans l'accomplissement de leur travail "que si l'équité l'exige". Selon les demandeurs, une telle réparation serait justifiée par les circonstances particulièrement choquantes du décès de V.H.________. Cette prétention, en tant qu'elle a sa cause dans le décès de cette dernière, n'est pas prescrite, à l'instar de celle basée sur des actes prétendument illicites de l'Etat (voir arrêt précité du 25 mars 1999 en la cause D., consid. 3a). Les conditions de l'indemnisation sont un dommage spécial, grave et causé par un acte qui n'avait pas pour but de protéger spécialement le lésé. Tanquerel (op. cit. p. 362/363) cite comme exemple typique de circonstances qui pourraient le plus vraisemblablement donner lieu à l'application de cette disposition le sursis à l'évacuation de locataires pour motifs humanitaires, ce qui permettrait d'indemniser les propriétaires. D'autres dispositions légales, qui ne s'appliquent pas en l'occurrence, les art. 379 et 380 CPP gen. permettent aussi d'indemniser une personne incarcérée de façon licite, mais qui est ensuite mise au bénéfice d'un non-lieu ou acquittée. Pour qu'une responsabilité de l'Etat en raison d'actes licites soit engagée, il faut en tout cas qu'il existe une relation de causalité entre l'incarcération, licite en l'occurrence, et le décès. Or, il n'y a pas en soi de lien de causalité adéquate ( ATF 123 III 110 consid. 3a p. 112) entre l'incarcération d'un détenu et son décès par intoxication à l'héroïne. Selon la jurisprudence, il peut certes se produire qu'un événement, par exemple un accident, produise des conséquences inhabituelles, telles qu'une névrose ( ATF 96 II 392 consid. 2 p. 396), sans que le lien de causalité cesse d'être adéquat. S'il est fréquent que l'incarcération puisse provoquer un état d'abattement chez le détenu, elle n'est cependant pas propre, d'après le cours ordinaire des choses et l'expérience de la vie, à entraîner la mort par l'absorption massive de stupéfiants. Dans la mesure où le défendeur n'a rien à se reprocher quant à la façon dont s'est déroulée l'incarcération de V.H.________, il apparaît que ce décès est dû de façon prépondérante, sinon exclusive, à la faute de l'intéressée. Retenir une responsabilité dans un tel cas reviendrait à exposer l'Etat à répondre de tous les agissements des prisonniers, même les plus imprévisibles. Cela serait pour le moins contraire à la notion d'équité, telle que l'exige l' art. 4 LREC comme condition de la réparation.</w:t>
      </w:r>
    </w:p>
    <w:p>
      <w:r>
        <w:rPr>
          <w:b/>
        </w:rPr>
        <w:t>E. 6</w:t>
      </w:r>
    </w:p>
    <w:p>
      <w:r>
        <w:t>a) Il s'ensuit que l'Etat ne peut pas être tenu pour responsable du décès de V.H.________, ni en vertu d'un acte illicite, ni en raison de son activité licite. L'action des demandeurs doit dès lors être rejetée sans qu'il soit nécessaire d'examiner si C.H.________ et M.H.________ ont subi un dommage du fait du décès de V.H.________. b) Compte tenu de l'assistance judiciaire accordée aux demandeurs par décision du 22 avril 1998, il y a lieu de statuer sans frais. En revanche, l'indemnité à allouer au défendeur à titre de dépens doit être mise à la charge solidaire des demandeurs (art. 159 al. 1 et 5 et 156 al. 7 OJ) et fixée selon l'art. 5 ch. 1 du Tarif pour les dépens alloués à la partie adverse dans les causes portées devant le Tribunal fédéral du 9 novembre 1978 (RS 173. 119.1; ci-après: le Tarif). Quant aux honoraires de l'avocat d'office des demandeurs, ils doivent être mis à la charge de la caisse du Tribunal fédéral, conformément aux art. 152 al. 2 OJ et 9 du Tarif.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