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2A.96/2002 vom 16. April 2002</w:t>
      </w:r>
    </w:p>
    <w:p>
      <w:r>
        <w:t>Bundesgericht, 2002-04-16, DE</w:t>
      </w:r>
    </w:p>
    <w:p>
      <w:r>
        <w:rPr>
          <w:b/>
        </w:rPr>
        <w:t xml:space="preserve">Quelle: </w:t>
      </w:r>
      <w:r>
        <w:t>https://mcp.opencaselaw.ch/entscheid/bger_2A.96_2002</w:t>
      </w:r>
    </w:p>
    <w:p>
      <w:r>
        <w:t>FR: TF 2A.96/2002 du 16 avril 2002</w:t>
      </w:r>
    </w:p>
    <w:p>
      <w:r>
        <w:t>IT: TF 2A.96/2002 del 16 aprile 2002</w:t>
      </w:r>
    </w:p>
    <w:p>
      <w:pPr>
        <w:pStyle w:val="Heading2"/>
      </w:pPr>
      <w:r>
        <w:t>Regeste</w:t>
      </w:r>
    </w:p>
    <w:p>
      <w:r>
        <w:t>Bürgerrecht und Ausländerrecht</w:t>
      </w:r>
    </w:p>
    <w:p>
      <w:pPr>
        <w:pStyle w:val="Heading2"/>
      </w:pPr>
      <w:r>
        <w:t>Erwägungen</w:t>
      </w:r>
    </w:p>
    <w:p>
      <w:r>
        <w:rPr>
          <w:b/>
        </w:rPr>
        <w:t>E. 1.1</w:t>
      </w:r>
    </w:p>
    <w:p>
      <w:r>
        <w:t>Das Eidgenössische Justiz- und Polizeidepartement ist als das in der Sache zuständige Departement grundsätzlich legitimiert, die Verfügung des Haftrichters, der als letzte kantonale Instanz entschieden hat, mit Verwaltungsgerichtsbeschwerde anzufechten ( Art. 103 lit. b OG ).</w:t>
      </w:r>
    </w:p>
    <w:p>
      <w:r>
        <w:rPr>
          <w:b/>
        </w:rPr>
        <w:t>E. 1.2</w:t>
      </w:r>
    </w:p>
    <w:p>
      <w:r>
        <w:t>Der Bund führt im öffentlichen Interesse Beschwerde. Das Beschwerderecht der Bundesbehörden soll den richtigen und rechtsgleichen Vollzug des Bundesverwaltungsrechts sicherstellen. Dabei besitzt der Bund ein abstraktes Interesse; er muss also grundsätzlich kein spezifisches öffentliches Interesse an der Anfechtung der Verfügung nachweisen ( BGE 113 Ib 219 E. 1b S. 221, mit Hinweisen). Im vorliegenden Fall wurde der betreffende Ausländer unmittelbar im Anschluss an den angefochtenen Haftrichterentscheid vom 25. Januar 2002 aus der Haft entlassen. Inzwischen scheint er untergetaucht und damit für die Behörden bis zur allfälligen nächsten Anhaltung für eine Ausschaffung nicht greifbar zu sein. Eine Gutheissung der Beschwerde könnte daher nicht dazu führen, dass der Ausländer wieder in Haft genommen werden müsste; ein solcher Antrag wird übrigens auch gar nicht gestellt. Sollte der Ausländer wieder aufgegriffen werden, müsste die Ausschaffungshaft so oder so neu verfügt und haftrichterlich überprüft werden. Das beschwerdeführende Departement braucht jedoch für die Beschwerdeberechtigung nach Art. 103 lit. b OG kein unmittelbares Interesse am Ausgang des konkreten Falles nachzuweisen; entscheidend ist einzig, dass es mit seinem Antrag nicht die Feststellung abstrakter Fragen des objektiven Rechts bezweckt, sondern dass es um konkrete Rechtsfragen eines tatsächlich bestehenden Einzelfalles geht (vgl. BGE 125 II 633 E. 1a und b S. 635), deren Beantwortung Auswirkungen auf weitere Fälle zeitigen könnte. Im Hinblick darauf, dass sich die Frage häufig stellt, unter welchen Voraussetzungen bundesrechtlich Ausschaffungshaft aufgrund von Untertauchensgefahr anzuordnen ist, wie dies im vorliegenden Fall strittig ist, hat das Departement daher ein hinreichendes Interesse, diese Rechtsfrage dem Bundesgericht zu unterbreiten, um allfällige Unsicherheiten hierüber zu beseitigen (vgl. Urteil des Bundesgerichts 2A.281/2000 vom 3. Oktober 2000, E. 1). Auf die Verwaltungsgerichtsbeschwerde ist somit einzutreten.</w:t>
      </w:r>
    </w:p>
    <w:p>
      <w:r>
        <w:rPr>
          <w:b/>
        </w:rPr>
        <w:t>E. 2.1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Die Haft muss sich sodann auch als verhältnismässig erweisen ( BGE 125 II 377 E. 4 S. 383; 119 Ib 193 E. 2c S. 198; vgl. auch BGE 122 II 148 E. 3 S. 153).</w:t>
      </w:r>
    </w:p>
    <w:p>
      <w:r>
        <w:rPr>
          <w:b/>
        </w:rPr>
        <w:t>E. 2.2</w:t>
      </w:r>
    </w:p>
    <w:p>
      <w:r>
        <w:t>Auf Verwaltungsgerichtsbeschwerde hin kann das Bundesgericht in rechtlicher Hinsicht die Verletzung von Bundesrecht einschliesslich Überschreitung oder Missbrauch des Ermessens, nicht aber die Angemessenheit eines Haftentscheides überprüfen ( Art. 104 lit. a und c OG ). Vor dem Bundesgericht stellt sich damit im vorliegenden Zusammenhang lediglich die Frage der Rechtmässigkeit der Haft. Dabei ist das Bundesgericht an den Wegweisungsentscheid gebunden, sofern dieser nicht offensichtlich rechtswidrig ist (vgl. Art. 100 Abs. 1 lit. b Ziff. 4 OG sowie BGE 121 II 59 E. 2c).</w:t>
      </w:r>
    </w:p>
    <w:p>
      <w:r>
        <w:rPr>
          <w:b/>
        </w:rPr>
        <w:t>E. 3.1</w:t>
      </w:r>
    </w:p>
    <w:p>
      <w:r>
        <w:t>Im vorliegenden Fall ist nicht strittig, dass gegen den betreffenden Ausländer ein Wegweisungsentscheid vorliegt, dessen Vollzug zurzeit noch nicht möglich, jedoch absehbar ist. Die Wegweisung ist auch nicht offensichtlich unzulässig, noch wurde sie dem Ausländer mangelhaft eröffnet. Da es je nach den konkreten Umständen eines Einzelfalles nicht ausgeschlossen ist, eine - vorweg angeordnete - Wegweisung erst zusammen mit dem Haftrichterentscheid zu eröffnen (BGE 2A.90/2002 vom 4. März 2002, E. 1.5; Urteil vom 20. Juli 2001, 2A.313/2001), ist es auch nicht unerlässlich, dass dem Ausländer gegenüber vor einer allfälligen Inhaftierung genauere Angaben über die Erfüllung seiner Ausreisepflicht gemacht worden sein müssen. Das verkennt an sich auch der Haftrichter im vorliegenden Fall nicht. Er ist indessen der Ansicht, die Auflagen und Obliegenheiten, welche dem Ausländer im vorliegenden Fall im Zusammenhang mit dem Vollzug der Wegweisung auferlegt worden seien, müssten als unrealistisch und widersprüchlich beurteilt werden, weshalb daraus, dass er diese nicht eingehalten habe, nicht geschlossen werden dürfe, er missachte behördliche Anordnungen. Zweifellos haben behördliche Anordnungen widerspruchsfrei zu ergehen und realistisch zu sein. Im vorliegenden Fall hat das Amt für Migration dem Ausländer am 30. April 2001 die Ausreisefrist auf den selben Tag bestätigt und ihm gleichzeitig eine neue Frist von vier Tagen gesetzt, um die nötigen Reisepapiere zu beschaffen. Mit ebenfalls am 30. April 2001 ergangener Verfügung hat ihm parallel dazu das Bundesamt für Flüchtlinge eine neue Ausreisefrist bis zum 10. Mai 2001 gesetzt. Das Vorgehen der Behörden erscheint als wenig koordiniert, und es ist tatsächlich fraglich, ob es nicht jedenfalls teilweise als widersprüchlich oder unrealistisch zu beurteilen war. Für die Frage der Untertauchensgefahr ist dies aber nicht entscheidend. Unklarheiten konnten lediglich im Hinblick auf die dem Ausländer gesetzten Fristen bestehen. Statt zu versuchen, seinen Pflichten innert vernünftiger Frist nachzukommen, ist der Ausländer jedoch untergetaucht. Sodann hatte er bis zu seiner Anhaltung und Inhaftierung am 22. Januar 2002 genügend Zeit, die ihm obliegenden Pflichten zu erfüllen. Zusammen mit dem Umstand, dass er schon früher im Asylverfahren widersprüchliche Angaben zu seiner Identität und Herkunft gemacht hat, wie aus dem Entscheid der Asylrekurskommission hervorgeht, bestanden damit klarerweise genügend Anhaltspunkte dafür, dass sich der Ausländer der Ausschaffung entziehen würde.</w:t>
      </w:r>
    </w:p>
    <w:p>
      <w:r>
        <w:rPr>
          <w:b/>
        </w:rPr>
        <w:t>E. 3.2</w:t>
      </w:r>
    </w:p>
    <w:p>
      <w:r>
        <w:t>Ob eine Inhaftierung während laufender bzw. vom Bundesamt für Flüchtlinge verlängerter Ausreisefrist verhältnismässig gewesen wäre, kann offen bleiben. Nachdem der Ausländer nunmehr rund acht Monate Zeit gehabt hatte, der Ausreiseaufforderung nachzukommen, lassen die erwähnten Unklarheiten bezüglich der Ausreisefrist die in der Folge angeordnete Ausschaffungshaft nicht als unverhältnismässig erscheinen.</w:t>
      </w:r>
    </w:p>
    <w:p>
      <w:r>
        <w:rPr>
          <w:b/>
        </w:rPr>
        <w:t>E. 3.3</w:t>
      </w:r>
    </w:p>
    <w:p>
      <w:r>
        <w:t>Der angefochtene Entscheid verkennt somit die bundesgerichtliche Rechtsprechung zur Untertauchensgefahr. Das Vorliegen einer solchen ist entgegen der Auffassung des Haftrichters zu bejahen. Insoweit widerspricht der angefochtene Entscheid dem durch die bundesgerichtliche Rechtsprechung konkretisierten Verständnis des bundesrechtlichen Begriffs der Untertauchensgefahr. Die Anordnung von Ausschaffungshaft hätte sodann auch als verhältnismässig beurteilt werden müssen. Damit ist die Verwaltungsgerichtsbeschwerde gutzuheissen und der angefochtene Entscheid aufzuheben.</w:t>
      </w:r>
    </w:p>
    <w:p>
      <w:r>
        <w:rPr>
          <w:b/>
        </w:rPr>
        <w:t>E. 3.4</w:t>
      </w:r>
    </w:p>
    <w:p>
      <w:r>
        <w:t>Im vorliegenden Verfahren sind keine Kosten zu verlegen und ist keine Parteientschädigung zuzusprechen ( Art. 156 Abs. 2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