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2A.95/2001 vom 30. Mai 2001</w:t>
      </w:r>
    </w:p>
    <w:p>
      <w:r>
        <w:t>Bundesgericht, 2001-05-30, DE</w:t>
      </w:r>
    </w:p>
    <w:p>
      <w:r>
        <w:rPr>
          <w:b/>
        </w:rPr>
        <w:t xml:space="preserve">Quelle: </w:t>
      </w:r>
      <w:r>
        <w:t>https://mcp.opencaselaw.ch/entscheid/bger_2A.95_2001</w:t>
      </w:r>
    </w:p>
    <w:p>
      <w:r>
        <w:t>FR: TF 2A.95/2001 du 30 mai 2001</w:t>
      </w:r>
    </w:p>
    <w:p>
      <w:r>
        <w:t>IT: TF 2A.95/2001 del 30 maggio 2001</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 der Fremdenpolizei unzulässig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Damit besteht grundsätzlich kein Anspruch auf Erteilung einer Bewilligung, es sei denn, der Ausländer könne sich auf eine Sondernorm des Bundesrechts oder eines Staatsvertrags berufen ( BGE 126 II 377 E. 2 S. 381; 124 II 361 E. 1a S. 363 f., je mit Hinweisen). b) Gemäss Art. 17 Abs. 2 Satz 3 ANAG haben ledige Kinder unter 18 Jahren Anspruch auf Einbezug in die Niederlassungsbewilligung ihrer Eltern, wenn sie mit diesen zusammen wohnen. M.X.________ war im Zeitpunkt der Gesuchseinreichung, auf den es in diesem Zusammenhang ankommt ( BGE 120 Ib 257 E. 1f S. 262), noch nicht 18 Jahre alt. Die Verwaltungsgerichtsbeschwerde ist daher zulässig. c) 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d)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w:t>
      </w:r>
    </w:p>
    <w:p>
      <w:r>
        <w:t>a) 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125 II 585 E. 2a S. 586). Ein Nachzugsrecht setzt vielmehr voraus, dass das Kind zu dem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bzw. wem die elterliche Gewalt zukommt; wenn sich das Kindesinteresse in der Zwischenzeit geändert hat, so ist für eine Anpassung der familienrechtlichen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125 II 583 E. 2a S. 587; 124 II 361 E. 3a S. 366; 118 Ib 153 E. 2b S. 159/160).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 BGE 125 II 583 E. 2a S. 587; 119 Ib 81 E. 3a S. 88; 115 Ib 97 E. 3a S. 101). Es werden hohe Beweisanforderungen gestellt ( BGE 124 II 361 E. 4c S. 370/371).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124 II 361 E. 3a S. 366/367, mit Hinweisen). b) Der Beschwerdeführer war sechsjährig, als sich seine Eltern scheiden liessen. Nach der Scheidung wurde er hauptsächlich von der Mutter betreut. 1993 übersiedelte der Vater in die Schweiz und liess seinen Sohn bei der Mutter in der Ukraine zurück. In die Heimat zog M. auch wieder, nachdem er seinen Vater 1996 besucht hatte. Erst im Herbst 1998 - als sich M., für den kurz zuvor lediglich ein Touristenvisum eingeholt worden war, bereits in der Schweiz aufhielt und die Behörden somit offenbar vor vollendete Tatsachen gestellt werden sollten (was nach der Rechtsprechung missbräuchlich erscheint [Urteil vom 11. September 2000 i.S. Gajovic, E. 3b]) - beantragte der Vater den Familiennachzug. Das entsprechende Gesuch begründete er zunächst mit der Aus- und Weiterbildungssituation für seinen Sohn. Im späteren Rekursverfahren rückte er die verstärkte Vater-Sohn-Bindung in den Vordergrund, und im Beschwerdeverfahren spielten schliesslich zum ersten Mal auch noch gesundheitliche Aspekte eine Rolle. Plausible familiäre bzw. in den Obhutsverhältnissen liegende Gründe dafür, wieso der Vater den seit der Scheidung (1989) bei der Mutter lebenden Sohn nunmehr zu sich in die Schweiz kommen lassen will, sind indessen - abgesehen vom irrelevanten Umstand, dass I.X.________ offenbar aus dem gemeinsamen ehelichen Haushalt ausgezogen ist und die Trennung von seiner schweizerischen Ehefrau beabsichtigt (vgl. Schreiben R.X.________/Fremdenpolizei des Kantons Zürich vom 27. Januar 1999) - nicht ersichtlich. Die Sachverhaltsfeststellungen des Verwaltungsgerichts und die daraus gezogenen rechtlichen Schlüsse lassen sich nicht beanstanden. Das gilt insbesondere auch für die Würdigung des behaupteten Motivs der Mutter, sie habe den Sohn aus egoistischen Gründen zur Behandlung einer angeblich bestehenden Krankheit bei sich behalten. Nach den Akten wurde zwar in der Ukraine möglicherweise eine falsche Diagnose gestellt und gestützt darauf eine falsche medizinische Behandlung durchgeführt. Inwiefern die Mutter - als Nichtärztin - diesen Vorgang beeinflusst haben sollte, ist aber nur schwer einzusehen. Jedenfalls durfte das Verwaltungsgericht zulässigerweise davon ausgehen, ein derartiges Verhalten der Mutter sei nicht belegt. Dem Gericht kann auch nicht vorgeworfen werden, es habe die Beteiligten (Vater und Sohn) hierzu zu Unrecht nicht - wie beantragt - persönlich befragt: Wohl ist für die Frage des Eintretens auf ein Gesuch um Familiennachzug gemäss Art. 17 Abs. 2 dritter Satz ANAG bzw. auf ein Rechtsmittel gegen einen entsprechenden ablehnenden Entscheid grundsätzlich - wie erwähnt (E. 1b) - auf das Alter der Kinder im Zeitpunkt der Gesuchseinreichung abzustellen. Bei der Prüfung der materiellen Rechtslage durfte das Verwaltungsgericht indessen ohne Verletzung von Bundesrecht berücksichtigen, dass der Beschwerdeführer kurz vor der Vollendung seines 18. Lebensjahres stand und daher nicht mehr ständig einer persönlichen Betreuung bedurfte (vgl. BGE 124 II 361 E. 4b S. 370). Die Frage nach dem psychischen Gesundheitszustand seiner Mutter und den damit verbundenen Auswirkungen fiel daher nicht mehr entscheidend ins Gewicht.</w:t>
      </w:r>
    </w:p>
    <w:p>
      <w:r>
        <w:rPr>
          <w:b/>
        </w:rPr>
        <w:t>E. 3</w:t>
      </w:r>
    </w:p>
    <w:p>
      <w:r>
        <w:t>Art. 8 Ziff. 1 EMRK garantiert den Schutz des Familienlebens. Darauf kann sich der Ausländer berufen, der nahe Verwandte mit einem gefestigten Anwesenheitsrecht in der Schweiz hat; wird ihm selber die Anwesenheit in der Schweiz untersagt, kann dies Art. 8 EMRK verletzen. Wird Art. 8 EMRK - wie hier - angerufen, so kommt es nach der Rechtsprechung auf das Alter der Kinder im "gegenwärtigen Zeitpunkt" an, wobei das Bundesgericht offen gelassen hat, ob allenfalls noch zwischen dem Zeitpunkt der Beschwerdeerhebung und demjenigen der Urteilsfällung durch das Bundesgericht zu unterscheiden ist ( BGE 120 Ib 257 E. 1f S. 263). Der Beschwerdeführer, geboren am 17. März 1983, ist 18 Jahre alt geworden, nachdem er die Verwaltungsgerichtsbeschwerde an das Bundesgericht eingereicht hatte. Indessen braucht nicht weiter untersucht zu werden, ob die Verweigerung der Aufenthaltsbewilligung vorliegend Art. 8 EMRK überhaupt tangiert. Dass der Beschwerdeführer vor Erreichen des 18. Altersjahrs zum Vater die vorrangige familiäre Beziehung unterhalten hatte und sich der Nachzug als zu deren Pflege notwendig erwies - was das Nachzugsrecht nach Art. 8 EMRK ebenfalls voraussetzt (vgl. BGE 125 II 629 E. 3a S. 640) - , wurde nicht dargetan (E. 2b). Dass ein besonderes Abhängigkeitsverhältnis zum Vater vorliege, welches dem Beschwerdeführer nach Erreichen der Volljährigkeit allenfalls einen Anspruch auf die Erteilung einer Aufenthaltsbewilligung gestützt auf Art. 8 EMRK verschaffen könnte, wird sodann nicht behauptet und ist auch nicht ersichtlich.</w:t>
      </w:r>
    </w:p>
    <w:p>
      <w:r>
        <w:rPr>
          <w:b/>
        </w:rPr>
        <w:t>E. 4</w:t>
      </w:r>
    </w:p>
    <w:p>
      <w:r>
        <w:t>Die Verwaltungsgerichtsbeschwerde erweist sich nach dem Gesagten als unbegründet und ist abzuweisen. Bei diesem Verfahrensausgang hat der Beschwerdeführer die bundesgerichtlichen Kosten zu tragen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