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2A.90/2002 vom 4. März 2002</w:t>
      </w:r>
    </w:p>
    <w:p>
      <w:r>
        <w:t>Bundesgericht, 2002-03-04, DE</w:t>
      </w:r>
    </w:p>
    <w:p>
      <w:r>
        <w:rPr>
          <w:b/>
        </w:rPr>
        <w:t xml:space="preserve">Quelle: </w:t>
      </w:r>
      <w:r>
        <w:t>https://mcp.opencaselaw.ch/entscheid/bger_2A.90_2002</w:t>
      </w:r>
    </w:p>
    <w:p>
      <w:r>
        <w:t>FR: TF 2A.90/2002 du 4 mars 2002</w:t>
      </w:r>
    </w:p>
    <w:p>
      <w:r>
        <w:t>IT: TF 2A.90/2002 del 4 marzo 2002</w:t>
      </w:r>
    </w:p>
    <w:p>
      <w:pPr>
        <w:pStyle w:val="Heading2"/>
      </w:pPr>
      <w:r>
        <w:t>Regeste</w:t>
      </w:r>
    </w:p>
    <w:p>
      <w:r>
        <w:t>Bürgerrecht und Ausländerrecht</w:t>
      </w:r>
    </w:p>
    <w:p>
      <w:pPr>
        <w:pStyle w:val="Heading2"/>
      </w:pPr>
      <w:r>
        <w:t>Erwägungen</w:t>
      </w:r>
    </w:p>
    <w:p>
      <w:r>
        <w:rPr>
          <w:b/>
        </w:rPr>
        <w:t>E. 1.1</w:t>
      </w:r>
    </w:p>
    <w:p>
      <w:r>
        <w:t>Die zuständige Behörde kann einen Ausländer zunächst für die Dauer von drei Monaten in Ausschaffungshaft nehmen, wenn die Voraussetzungen von Art. 13b ANAG erfüllt sind. Danach ist erforderlich,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Stehen dem Vollzug der Weg- oder Ausweisung besondere Hindernisse entgegen, so kann die Haft mit Zustimmung der kantonalen richterlichen Behörde um höchstens sechs Monate verlängert werden ( Art. 13b Abs. 2 ANAG ).</w:t>
      </w:r>
    </w:p>
    <w:p>
      <w:r>
        <w:rPr>
          <w:b/>
        </w:rPr>
        <w:t>E. 1.2</w:t>
      </w:r>
    </w:p>
    <w:p>
      <w:r>
        <w:t>Als das Migrationsamt den Beschwerdeführer in Ausschaffungshaft nahm, war er fremdenpolizeilich weder aus- noch weggewiesen worden. Bei der einzigen vorher gegen ihn ergangenen Entfernungsmassnahme handelte es sich um die unbedingt ausgesprochene strafrechtliche Landesverweisung. Der ursprüngliche Haftrichterentscheid vom 23. November 2001, mit welchem die Anordnung der Ausschaffungshaft bestätigt wurde, nennt denn auch diese Landesverweisung und keine andere Entfernungsmassnahme als Grundlage für die Haft. Der Beschwerdeführer wendet nun allerdings ein, die Landesverweisung sei nicht vollziehbar gewesen, insbesondere weil noch keine Vollstreckungsverfügung ergangen sei. Dies gelte auch für den Entscheid über die Fortsetzung der Ausschaffungshaft, sei doch die Vollstreckungsverfügung dem Haftrichter bei Fällung seines Verlängerungsentscheids am 15. Februar 2002 noch immer nicht vorgelegen. Daran ändere nichts, dass das strafrichterliche Urteil am 29. Januar 2002 rechtskräftig geworden und der Vollzug der Landesverweisung am 13. Februar 2002 angeordnet worden sei, habe der Haftrichter davon doch keine Kenntnis gehabt.</w:t>
      </w:r>
    </w:p>
    <w:p>
      <w:r>
        <w:rPr>
          <w:b/>
        </w:rPr>
        <w:t>E. 1.3</w:t>
      </w:r>
    </w:p>
    <w:p>
      <w:r>
        <w:t>Das Gesetz nennt die Landesverweisung nicht ausdrücklich als zulässige Entfernungsmassnahme, die einer Ausschaffungshaft zugrunde liegen könnte. Das Bundesgericht hat jedoch schon vor einiger Zeit - in Übereinstimmung mit dem Schrifttum - entschieden, dass grundsätzlich auch eine strafrechtliche Landesverweisung die Grundlage für eine Ausschaffungshaft bilden kann (Urteil 2A.405/1996 vom 29. August 1996, bestätigt mit den Urteilen 2A.1/1998 vom 23. Januar 1998 und 2A.13/1999 vom 28. Januar 1999; Peter Uebersax, Menschenrechtlicher Schutz bei fremdenpolizeilichen Einsperrungen, in recht 1995 S. 61; Alain Wurzburger, La jurisprudence récente du Tribunal fédéral en matière de police des étrangers, in RDAF 53/1997 1 S. 329; Andreas Zünd, Zwangsmassnahmen im Ausländerrecht: Verfahrensfragen und Rechtsschutz, in AJP 1995 S. 854; vgl. neuerdings auch Philip Grant, Les mesures de contrainte en droit des étrangers, hrsg. von der Schweizerischen Flüchtlingshilfe, Bern 2001, S. 12). Wie sich aus dem Wortlaut von Art. 13b ANAG ergibt, wonach eine erstinstanzliche Entfernungsmassnahme für die Anordnung von Ausschaffungshaft genügt, muss die verfügte Entfernungsmassnahme nicht vollstreckbar sein. Die tatsächliche Ausschaffung hat einzig - aus Gründen der Verhältnismässigkeit - in einer nahen Zukunft, d.h. jedenfalls innert der gesetzlich zulässigen Haftdauer, als möglich zu erscheinen. Dies gilt nicht nur bei Aus- oder Wegweisungen, sondern grundsätzlich auch bei der Landesverweisung, und zwar unabhängig davon, dass bei dieser in der Regel eine getrennt von der Anordnung der Landesverweisung zu treffende Vollstreckungsverfügung zu ergehen hat (vgl. BGE 121 IV 345 ; 116 IV 105 E. 4 S. 115). Nach der Rechtsprechung des Bundesgerichts bildet eine unbedingt ausgesprochene Landesverweisung selbst dann eine genügende Grundlage für die Ausschaffungshaft, wenn noch keine Vollstreckungsverfügung ergangen ist, sofern das Verhältnismässigkeitsprinzip gewahrt bleibt (Urteil 2A.1/1998 vom 23. Januar 1998).</w:t>
      </w:r>
    </w:p>
    <w:p>
      <w:r>
        <w:rPr>
          <w:b/>
        </w:rPr>
        <w:t>E. 1.4</w:t>
      </w:r>
    </w:p>
    <w:p>
      <w:r>
        <w:t>Im vorliegenden Fall gibt es zurzeit keine Anhaltspunkte dafür, dass die Landesverweisung nicht innert absehbarer Frist, insbesondere während der möglichen Höchstdauer der Ausschaffungshaft, vollzogen werden könnte. Entsprechende Zweifel bestanden auch nicht im jeweiligen Zeitpunkt der haftrichterlichen Entscheide über die Anordnung bzw. Verlängerung der Ausschaffungshaft. Sodann bestehen im Kanton Zürich - im Unterschied etwa zum Kanton Bern - keine verschiedenen Zuständigkeiten für die Anordnung der Haft je nach dem, ob sich diese auf eine strafrechtliche Landesverweisung oder eine fremdenpolizeiliche Entfernungsmassnahme stützt. Auch wenn für die Vollstreckungsverfügung bei einer Landesverweisung der Justizvollzug des Kantons Zürich zuständig ist, bleibt die Kompetenz für die Anordnung von Ausschaffungshaft beim Migrationsamt (vgl. § 1 der zürcherischen Verordnung vom 4. Dezember 1996 zum Bundesgesetz über Zwangsmassnahmen im Ausländerrecht), das im Übrigen, wie der vorliegende Fall zeigt, vom Justizvollzug in der Regel auch mit dem tatsächlichen Vollzug der Landesverweisung beauftragt zu werden scheint. Der Beschwerdeführer macht im Übrigen gar nicht geltend, die Haft sei nicht von der nach Art. 13c Abs. 1 ANAG kompetenten Behörde verfügt bzw. verlängert (Art. 13c Abs. 1 i.V.m. Art. 13b Abs. 2 ANAG ) worden. Damit beruhte die Haft von Anfang an auf einer zulässigen Grundlage und kann gestützt auf diese auch verlängert werden.</w:t>
      </w:r>
    </w:p>
    <w:p>
      <w:r>
        <w:rPr>
          <w:b/>
        </w:rPr>
        <w:t>E. 1.5</w:t>
      </w:r>
    </w:p>
    <w:p>
      <w:r>
        <w:t>Unter diesen Umständen kann offen bleiben, inwieweit die Wegweisungsverfügung, welche das Migrationsamt nachträglich getroffen hat, nachdem es vom Haftrichter im Haftverlängerungsverfahren dazu angehalten worden war, ebenfalls als Grundlage für die Ausschaffungshaft dienen könnte. Nach der Rechtsprechung sind die Formerfordernisse bei der Anordnung einer so genannt formlosen Wegweisung nach Art. 12 ANAG freilich gering, und es ist insbesondere nicht von vornherein ausgeschlossen, eine - vorweg angeordnete - Wegweisung zusammen mit dem Hafturteil zu eröffnen (Urteil des Bundesgerichts 2A.313/2001 vom 20. Juli 2001; vgl. auch Grant, a.a.O., S. 12). Wie dies und das damit verbundene - eher ungewöhnliche - Vorgehen des Haftrichters im vorliegenden Fall zu beurteilen wären, ist aber für die Frage der Zulässigkeit der Haft nicht von Belang, nachdem sich die Ausschaffungshaft bereits auf die Landesverweisung zu stützen vermag.</w:t>
      </w:r>
    </w:p>
    <w:p>
      <w:r>
        <w:rPr>
          <w:b/>
        </w:rPr>
        <w:t>E. 1.6</w:t>
      </w:r>
    </w:p>
    <w:p>
      <w:r>
        <w:t>Schliesslich bestreitet der Beschwerdeführer das Vorliegen der weiteren Haftvoraussetzungen, insbesondere eines Haftgrundes, nicht. Es sind denn auch keine Anhaltspunkte ersichtlich, die gegen die Zulässigkeit der Haft bzw. deren Verlängerung sprechen würden.</w:t>
      </w:r>
    </w:p>
    <w:p>
      <w:r>
        <w:rPr>
          <w:b/>
        </w:rPr>
        <w:t>E. 2.1</w:t>
      </w:r>
    </w:p>
    <w:p>
      <w:r>
        <w:t>Die Verwaltungsgerichtsbeschwerde erweist sich als unbegründet und ist abzuweisen.</w:t>
      </w:r>
    </w:p>
    <w:p>
      <w:r>
        <w:rPr>
          <w:b/>
        </w:rPr>
        <w:t>E. 2.2</w:t>
      </w:r>
    </w:p>
    <w:p>
      <w:r>
        <w:t>Bei diesem Verfahrensausgang würde der Beschwerdeführer kostenpflichtig ( Art. 156 Abs. 1 OG ). Da der Beschwerdeführer bedürftig ist und sein Rechtsbegehren aufgrund der publizierten Praxis nicht zum vornherein aussichtslos war, ist dem gestellten Gesuch um unentgeltliche Rechtspflege und Verbeiständung zu entsprechen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