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2A.86/2002 vom 21. Februar 2003</w:t>
      </w:r>
    </w:p>
    <w:p>
      <w:r>
        <w:t>Bundesgericht, 2003-02-21, DE</w:t>
      </w:r>
    </w:p>
    <w:p>
      <w:r>
        <w:rPr>
          <w:b/>
        </w:rPr>
        <w:t xml:space="preserve">Quelle: </w:t>
      </w:r>
      <w:r>
        <w:t>https://mcp.opencaselaw.ch/entscheid/bger_2A.86_2002</w:t>
      </w:r>
    </w:p>
    <w:p>
      <w:r>
        <w:t>FR: TF 2A.86/2002 du 21 février 2003</w:t>
      </w:r>
    </w:p>
    <w:p>
      <w:r>
        <w:t>IT: TF 2A.86/2002 del 21 febbraio 2003</w:t>
      </w:r>
    </w:p>
    <w:p>
      <w:pPr>
        <w:pStyle w:val="Heading2"/>
      </w:pPr>
      <w:r>
        <w:t>Regeste</w:t>
      </w:r>
    </w:p>
    <w:p>
      <w:r>
        <w:t>Bürgerrecht und Ausländerrecht</w:t>
      </w:r>
    </w:p>
    <w:p>
      <w:pPr>
        <w:pStyle w:val="Heading2"/>
      </w:pPr>
      <w:r>
        <w:t>Erwägungen</w:t>
      </w:r>
    </w:p>
    <w:p>
      <w:r>
        <w:rPr>
          <w:b/>
        </w:rPr>
        <w:t>E. 1</w:t>
      </w:r>
    </w:p>
    <w:p>
      <w:r>
        <w:t>Die Beschwerde gegen den Beschluss des Bundesrates vom 3. Juli 2001 wurde erst am 17. Februar 2002 beim Bundesgericht eingereicht. Von der Verfügung des Bundesamtes für Polizei vom 6. Juli 2001, durch welche dieser Bundesratsbeschluss als solcher eröffnet und begründet wurde, erhielt der Beschwerdeführer nach eigener Darstellung bereits auf Anfrage vom 16. Juli 2001 hin Kenntnis. Eine allfällige Rechtsmittelfrist hätte daher zu diesem Zeitpunkt zu laufen begonnen. Der Beschwerdeführer hätte, wenn er trotz Hinweises auf die fehlende Rechtsmittelmöglichkeit eine Rechtsmittelinstanz anrufen wollte, dies innert nützlicher Frist tun müssen. Er durfte, gleich wie im Fall einer fehlenden Rechtsmittelbelehrung, nicht lange Zeit einfach untätig bleiben ( BGE 119 IV 330 E. 1c S. 334; 129 II 123 E. 3.3 S. 134; Urteil 2A.479/1997 vom 9. Juni 1998, E. 2c und d). Ob es genügte, dass der Beschwerdeführer zusätzlich die Zustellung der "bundesrätlichen Verfügung" verlangte, über deren (gleich lautenden) Inhalt er sechs Monate später von der Bundeskanzlei eine "Bestätigung" erhielt, um erst dann ans Bundesgericht als potenziell zuständige Rechtsmittelinstanz zu gelangen, ist zweifelhaft. Die Frage kann aufgrund der nachfolgenden Erwägungen aber offen bleiben.</w:t>
      </w:r>
    </w:p>
    <w:p>
      <w:r>
        <w:rPr>
          <w:b/>
        </w:rPr>
        <w:t>E. 2.1</w:t>
      </w:r>
    </w:p>
    <w:p>
      <w:r>
        <w:t>Entscheide des Bundesrates können grundsätzlich nicht mit Verwaltungsgerichtsbeschwerde beim Bundesgericht angefochten werden. Eine Ausnahme besteht nur bezüglich bundesrätlicher Verfügungen auf dem Gebiet des Dienstverhältnisses von Bundespersonal, soweit das Bundesrecht vorsieht, dass der Bundesrat als erste Instanz verfügt ( Art. 98 lit. a OG ; BGE 125 II 417 E. 4a S. 420 mit Hinweis). Vorliegend sind keine Fragen des Dienstverhältnisses von Bundespersonal streitig, so dass die Verwaltungsgerichtsbeschwerde nach der genannten Regelung nicht ergriffen werden kann. Dieses Rechtsmittel erscheint ausserdem auch deshalb als unzulässig, weil der angefochtene Beschluss, für den als Rechtsgrundlage Art. 184 Abs. 3 BV (vormals Art. 102 Ziff. 8 aBV ; Wahrung der Landesinteressen in den Beziehungen zum Ausland) angegeben wird, unter den Ausschlussgrund von Art. 100 Abs. 1 lit. a OG fällt; dasselbe würde im Übrigen gelten, soweit er in Anwendung von Art. 185 Abs. 3 BV (vormals Art. 102 Ziff. 9 und 10 aBV ; Wahrung der äusseren und inneren Sicherheit) ergangen wäre. Vom Verfügungsgegenstand her stellt ein im Interesse der öffentlichen Ordnung und der nationalen Sicherheit verhängtes Einreiseverbot einen Teilaspekt der politischen Ausweisung dar ( Art. 121 Abs. 2 BV , vormals Art. 70 aBV ; vgl. Giorgio Malinverni, in: Kommentar aBV, Rz. 20 in fine zu Art. 70 aBV ), weshalb die Verwaltungsgerichtsbeschwerde insoweit auch gemäss Art. 100 Abs. 1 lit. b Ziff. 4 OG ausgeschlossen ist. Unzulässig ist dieses Rechtsmittel schliesslich generell gegen die Einreiseverweigerung, die Einreisebeschränkung und die Einreisesperre (Art. 100 Abs. 1 lit. b Ziff. 1 OG; BGE 110 Ib 397 ).</w:t>
      </w:r>
    </w:p>
    <w:p>
      <w:r>
        <w:rPr>
          <w:b/>
        </w:rPr>
        <w:t>E. 2.2</w:t>
      </w:r>
    </w:p>
    <w:p>
      <w:r>
        <w:t>Der Beschwerdeführer bestreitet das Vorliegen von Ausschlussgründen für die Verwaltungsgerichtsbeschwerde im Sinne von Art. 98 ff. OG nicht. Er macht indessen geltend, da er eine Verletzung von Art. 8 EMRK rüge, garantiere ihm Art. 13 EMRK das Recht auf eine wirksame Beschwerde bei einer innerstaatlichen Instanz. Dasselbe ergebe sich überdies - aufgrund einer behaupteten Verletzung von Art. 12 (und 13) des internationalen Pakts vom 16. Dezember 1966 über bürgerliche und politische Rechte (UNO-Pakt II, Bürgerrechtspakt; SR 0.103.2) - auch aus Art. 2 Abs. 3 UNO-Pakt II . In Anlehnung an BGE 125 II 417 folgert der Beschwerdeführer, es sei nicht ersichtlich, welche Instanz ausser dem Bundesgericht für eine entsprechende Beschwerde zuständig sei. Das Bundesgericht habe infolgedessen direkt aufgrund von Art. 13 EMRK und Art. 2 UNO-Pakt II auf die vorliegende Beschwerde einzutreten. Demgegenüber stellt sich das Bundesamt für Polizei in seiner Vernehmlassung an das Bundesgericht vom 29. April 2002 unter Hinweis auf die (oben E. 2.1 zitierten) einschlägigen Normen des Bundesrechtspflegegesetzes auf den Standpunkt, der vorliegend angefochtene, in Anwendung von Art. 184 Abs. 3 BV ergangene Beschluss des Bundesrates lasse sich nicht mit Verwaltungsgerichtsbeschwerde anfechten. Politische Ausweisungen und damit auch Einreiseverbote würden in den Anwendungsbereich von Art. 1 des Protokolls Nr. 7 vom 22. November 1984 zur Konvention zum Schutz der Menschenrechte und Grundfreiheiten (SR 0.101.07) fallen. Einreiseverbote erfolgten im Interesse der öffentlichen Ordnung oder der nationalen Sicherheit im Sinne von Art. 1 Abs. 2 dieses Protokolls. Die Schweiz habe einen Vorbehalt zu Art. 1 angebracht, wonach bei politischen Ausweisungen die in Absatz 1 gewährten Rechte auch nach vollzogener Ausweisung nicht gewährt würden. Das Fehlen von Rechtsmitteln gegen Verfügungen des Bundesrates stehe damit nicht im Widerspruch zu den für die Schweiz verbindlichen menschenrechtlichen Garantien. Im Weiteren sehe auch Art. 12 UNO-Pakt II Ausnahmen zum Schutz der öffentlichen Ordnung vor, und Art. 13 UNO-Pakt II , welcher analoge Garantien zu Art. 1 des Protokolls Nr. 7 zur EMRK enthalte, erlaube, dass selbst auf die nachträgliche Gewährung der Anhörungsrechte im Falle politischer Ausweisungen verzichtet werden könne, weshalb ein entsprechender Vorbehalt entbehrlich gewesen sei. Auch habe die Schweiz in Bezug auf UNO-Pakt II - mangels Ratifikation des Fakultativprotokolls - das Recht auf Individualbeschwerden noch nicht anerkannt.</w:t>
      </w:r>
    </w:p>
    <w:p>
      <w:r>
        <w:rPr>
          <w:b/>
        </w:rPr>
        <w:t>E. 3.1</w:t>
      </w:r>
    </w:p>
    <w:p>
      <w:r>
        <w:t>Nach Art. 13 EMRK hat, wer sich in den durch die Konvention garantierten Rechten und Freiheiten für beeinträchtigt hält, Anspruch darauf, bei einer nationalen Instanz eine wirksame Beschwerde einlegen zu können. Dies bedeutet - im Unterschied zu Art. 6 Ziff. 1 EMRK - nicht notwendigerweise, dass ein Rechtsmittel an eine gerichtliche Behörde zur Verfügung stehen muss; es genügt auch eine Beschwerdemöglichkeit an ein hinreichend unabhängiges verwaltungsinternes Rechtspflegeorgan, welches - unter Wahrung der rechtsstaatlich notwendigen minimalen Verfahrensrechte - die Vorbringen des Betroffenen prüfen und gegebenenfalls den angefochtenen Akt aufheben bzw. dessen Auswirkungen beseitigen kann ( BGE 128 I 167 E. 4.5 S. 174; 126 II 377 E. 8d/bb S. 396 mit Hinweisen; 118 Ib 277 E. 5 S. 283 ff.; 111 Ib 68 E. 4 S. 72). Darin liegt der wesentliche Unterschied zu dem vom Beschwerdeführer angerufenen BGE 125 II 417 , wo der gemäss Art. 6 Ziff. 1 EMRK erforderliche Rechtsschutz von vornherein nur durch das Bundesgericht hatte gewährleistet werden können.</w:t>
      </w:r>
    </w:p>
    <w:p>
      <w:r>
        <w:rPr>
          <w:b/>
        </w:rPr>
        <w:t>E. 3.2</w:t>
      </w:r>
    </w:p>
    <w:p>
      <w:r>
        <w:t>Der Beschwerdeführer besitzt die Niederlassungsbewilligung in der Schweiz, wo er zusammen mit seiner Ehefrau sowie den drei gemeinsamen Kindern (geboren 1983, 1988 und 1995) lebt. Näheres über deren ausländerrechtlichen Status ist nicht bekannt. Da der Beschwerdeführer durch den angefochtenen Entscheid nicht ausgewiesen, sondern ihm lediglich - bis auf weiteres - die Einreise untersagt wird, bleibt seine Niederlassungsbewilligung vorderhand unberührt (vgl. Hans Peter Moser, Die Rechtsstellung des Ausländers in der Schweiz, in: ZSR 86/1967 II S. 393, unter Hinweis auf M. Ruth, Das Fremdenpolizeirecht der Schweiz, Zürich 1934, S. 115; ferner: Martina Caroni, Privat- und Familienleben zwischen Menschenrecht und Migration, Berlin 1999, S. 121). Selbst wenn seine Ehefrau und die Kinder nur über eine abgeleitete, zum Zweck des Familiennachzugs erteilte Aufenthaltsbewilligung verfügen sollten, wäre deren Anwesenheitsberechtigung (zumindest vorerst) nicht in Frage gestellt. Verfügt der Beschwerdeführer damit über in der Schweiz ansässige, nahe Angehörige und wird ihm aufgrund der gegen ihn verhängten Fernhaltemassnahme verunmöglicht, das Familienleben hierzulande zu pflegen, so lässt sich in vertretbarer Weise behaupten, es liege ein Eingriff in dieses durch Art. 8 Ziff. 1 EMRK geschützte Rechtsgut vor. Infolgedessen darf dem Beschwerdeführer eine wirksame Beschwerdemöglichkeit im Sinne von Art. 13 EMRK zur Geltendmachung dieser Rüge grundsätzlich nicht vorenthalten werden. An diesem Ergebnis vermag - entgegen dem in der Vernehmlassung des Bundesamtes für Polizei vom 29. April 2002 anscheinend eingenommenen Standpunkt - der von der Schweiz angebrachte Vorbehalt zu Art. 1 des Protokolls Nr. 7 zur EMRK nichts zu ändern, entbindet er doch die Schweiz in Fällen politischer Ausweisungen einzig von der Einhaltung der in Art. 1 Abs. 1 des Protokolls vorgesehenen Verfahrensgarantien. Der Anspruch auf eine wirksame Beschwerde im Sinne von Art. 13 EMRK bleibt dadurch unberührt (Andreas Zünd, in: Peter Uebersax/Peter Münch/Thomas Geiser/Martin Arnold [Hrsg.], Ausländerrecht, Basel 2002, Rz. 6.88; vgl. allgemein zum fraglichen Vorbehalt die Botschaft über die Genehmigung der Protokolle Nr. 6, 7 und 8 zur EMRK, in: BBl 1986 II 589, S. 599 f. sowie Giorgio Malinverni, in: Kommentar aBV, Rz. 27 zu Art. 70 aBV ). Zutreffend ist jedoch, dass das vorliegend angefochtene Einreiseverbot, welchem politische Überlegungen zugrunde liegen, - als im Vergleich zur politischen Ausweisung ( Art. 121 Abs. 2 BV bzw. vormals Art. 70 aBV ) milderes Mittel (vgl. oben E. 2.1) - vom erwähnten Vorbehalt ebenfalls mitumfasst wird (vgl. zur Beibehaltung dieses Vorbehalts und zur beabsichtigten redaktionellen Anpassung desselben aufgrund der Neunummerierung der neuen Bundesverfassung: BBl 1999 S. 3665). Der Beschwerdeführer kann sich mithin nicht auf die besonderen Garantien des Art. 1 des Protokolls Nr. 7 berufen, wohl aber auf Art. 13 EMRK .</w:t>
      </w:r>
    </w:p>
    <w:p>
      <w:r>
        <w:rPr>
          <w:b/>
        </w:rPr>
        <w:t>E. 4.1</w:t>
      </w:r>
    </w:p>
    <w:p>
      <w:r>
        <w:t>Der vorliegende Fall ist dadurch gekennzeichnet, dass der angefochtene Entscheid vom Bundesrat erlassen wurde, der obersten leitenden und vollziehenden Behörde des Bundes ( Art. 174 BV ). Der Bundesrat steht nicht nur an der Spitze der Bundesverwaltung ( Art. 178 Abs. 1 und 2 BV ) sondern ist als Regierungskollegium auch direkt mit der Staatsleitung ( Art. 180 Abs. 1 BV ) betraut (eingehend zu diesen zwei Hauptaufgaben: Kurt Eichenberger, in: Kommentar aBV, Rz. 4 ff. zu Art. 95 aBV ; vgl. zur neuen Bundesverfassung: Ulrich Häfelin/Walter Haller, Schweizerisches Bundesstaatsrecht, 5. Aufl., Zürich 2001, N. 1655-1657 sowie Thomas Sägesser, Die Bundesbehörden, Bern 2000, Rz. 747 ff. zu Art. 174 BV ). Eine Beschwerde an eine hierarchisch übergeordnete Behörde ist damit von vornherein ausgeschlossen. Als zur Beurteilung befugtes Organ böte sich - aufgrund ihrer Stellung als oberste Gewalt des Bundes unter Vorbehalt der Rechte von Volk und Ständen ( Art. 148 Abs. 1 BV ) - einzig die Bundesversammlung selbst an. Allerdings gilt es zu berücksichtigen, dass der Weiterzug von Beschwerdeentscheiden und Verfügungen an die Bundesversammlung als Rechtspflegeinstanz nur in den vom Bundesgesetz vorgesehenen (seltenen) Fällen zulässig ist ( Art. 79 Abs. 1 VwVG , Fassung vom 8. Oktober 1999; vgl. für den Bereich der Staatsrechtspflege Art. 189 Abs. 2 BV ). Eine entsprechende Regelung für die vorliegende Konstellation findet sich nicht, weshalb die Beschwerde an die Bundesversammlung als ausgeschlossen gelten muss (vgl. als Präjudiz für die Unzulässigkeit dieses Rechtsmittels gegen politische Ausweisungen bereits den Entscheid der Bundesversammlung i.S. Germani vom 22. Dezember 1899, zitiert bei Walter Burckhardt, Kommentar der schweizerischen Bundesverfassung, 3. Aufl., Bern 1931, S. 636, bzw. Giorgio Malinverni, in: Kommentar aBV, Rz. 26 zu Art. 70 aBV ). Allerdings bestehen im Bereich der äusseren Sicherheit konkurrierende Kompetenzen von Bundesrat ( Art. 185 Abs. 3 BV ) und Bundesversammlung ( Art. 173 Abs. 1 lit. a BV ). Auch ihr ist es möglich, zur Wahrung der äusseren Sicherheit, der Unabhängigkeit und der Neutralität der Schweiz, wenn ausserordentliche Umstände es erfordern, Verordnungen oder einfache Bundesbeschlüsse zu erlassen (Art. 173 Abs. 1 lit. c i.V.m. lit. a BV). Die Kompetenz der Bundesversammlung geht jener des Bundesrates vor, weshalb entsprechende bundesrätliche Massnahmen unter Umständen anzupassen oder aufzuheben sind, soweit sie im Widerspruch zu später ergangenen Anordnungen der Bundesversammlung stehen (Sägesser, a.a.O., Rz. 704 zu Art. 173 BV sowie Rz. 995 zu Art. 185 BV ; Urs Saxer, in: Bernhard Ehrenzeller/Philippe Mastronardi/Rainer J. Schweizer/Klaus A. Vallender [Hrsg.], Die schweizerische Bundesverfassung, St. Galler Kommentar, Zürich/Lachen SZ 2002, Rz. 5 zu Art. 173 BV sowie Rz. 36 zu Art. 185 BV ). Inwieweit der Bundesversammlung auch auf dem Gebiet der Beziehungen zum Ausland (Wahrung der Landesinteressen, Art. 184 Abs. 3 BV ) neben dem Bundesrat gewisse Befugnisse (allenfalls unter Inanspruchnahme ihrer Mitwirkungsrechte gemäss Art. 166 BV ) zustehen, um auf den Erlass und die Ausgestaltung entsprechender Verfügungen und Verordnungen Einfluss nehmen zu können, ist nicht restlos klar (für konkurrierende Kompetenzen auch hier: Sägesser, a.a.O., Rz. 956 zu Art. 184 BV ; ablehnend: Daniel Thürer, in: St. Galler Kommentar, a.a.O., Rz. 18 zu Art. 184 BV ). Verfassungsunmittelbare Verordnungen und Verfügungen der erwähnten Art verfolgen jedoch häufig nebst aussenpolitischen auch polizeiliche und sicherheitspolitische Ziele (Dietrich Schindler, in: Kommentar aBV, Rz. 113 zu Art. 102 aBV ; vgl. auch Thürer, a.a.O., Rz. 19 zu Art. 184 BV ), was vorliegend insofern bestätigt wird, als in der Vernehmlassung des Bundesamtes für Polizei vom 29. April 2002 an das Bundesgericht der angefochtene Entscheid als "im Interesse der inneren und äusseren Sicherheit der Schweiz" liegend bezeichnet wird. Es ist daher nicht auszuschliessen, dass der Bundesversammlung die Kompetenz zustünde, in dieser Sache ein vom bundesrätlichen Beschluss abweichendes Erkenntnis zu treffen. Entsprechende Anträge könnte der Beschwerdeführer der Bundesversammlung allerdings - wie ausgeführt - nicht beschwerdeweise unterbreiten, sondern lediglich auf dem Wege einer Petition. Ob diese jedoch dem Erfordernis einer "wirksamen Beschwerde" im Sinne von Art. 13 EMRK genügt, ist zweifelhaft, da zum einen verfassungsrechtlich kein Anspruch auf materielle Behandlung der Petition besteht und zum anderen dem Petitionär im Verfahren keine Parteistellung zukommt, womit - abgesehen von der Pflicht der Behörden zur Kenntnisnahme ( Art. 33 Abs. 2 BV ) - auch keine Verfahrensgarantien gewährleistet sind. Schliesslich dürfte auch die Möglichkeit, beim Bundesrat selbst um Wiedererwägung seines Beschlusses zu ersuchen ( Art. 66 ff. VwVG analog), einen den Anforderungen von Art. 13 EMRK entsprechenden Rechtsbehelf nicht ersetzen, fehlt es doch hier an der hinreichenden Unabhängigkeit der Behörde (Mark E. Villiger, Handbuch der Europäischen Menschenrechtskonvention [EMRK], 2. Aufl., Zürich 1999, N. 649 mit Hinweisen in Fn. 12; Jochen Abr. Frowein/Wolfgang Peukert, EMRK-Kommentar, 2. Aufl., Kehl/Strassburg/Arlington 1996, Rz. 4 zu Art. 13 EMRK ; vgl. demgegenüber noch den Entscheid der EKMR i.S. S.T. gegen Schweiz vom 4. Dezember 1991, publ. in: VPB 56/1992 Nr. 51 S. 446). Immerhin kann der Beschwerdeführer, indem er um eine in Ziff. 1 des angefochtenen Beschlusses vorbehaltene Einreisebewilligung ersucht, bis zu einem gewissen Grad auch die Überprüfung seines Falles bewirken. Zu prüfen ist, ob das Bundesgericht auf das bei ihm erhobene Rechtsmittel einzutreten hat, um seinerseits einen Art. 13 EMRK genügenden Rechtsschutz zu gewährleisten.</w:t>
      </w:r>
    </w:p>
    <w:p>
      <w:r>
        <w:rPr>
          <w:b/>
        </w:rPr>
        <w:t>E. 4.2</w:t>
      </w:r>
    </w:p>
    <w:p>
      <w:r>
        <w:t>Im Unterschied zu BGE 125 II 417 stützt sich der vorliegend angefochtene bundesrätliche Beschluss unmittelbar auf die Bundesverfassung ( Art. 184 Abs. 3 BV ). Zu untersuchen ist, ob bzw. inwieweit die hier anwendbare neue Bundesverfassung vom 18. April 1999 mit Blick auf die Ausgestaltung des Gewaltenteilungsprinzips im Verhältnis zwischen Bundesrat und Bundesgericht die Anfechtung von bundesrätlichen Einzelakten zulässt.</w:t>
      </w:r>
    </w:p>
    <w:p>
      <w:r>
        <w:rPr>
          <w:b/>
        </w:rPr>
        <w:t>E. 4.2.1</w:t>
      </w:r>
    </w:p>
    <w:p>
      <w:r>
        <w:t>Vorauszuschicken ist, dass auch die neue Bundesverfassung keine Art. 13 EMRK entsprechende Rechtsschutzregelung kennt (Villiger, a.a.O., N. 647). Hingegen wurde mit dem - in der Volksabstimmung vom 12. März 2000 angenommenen, aber noch nicht in Kraft gesetzten - Bundesbeschluss vom 8. Oktober 1999 über die Reform der Justiz (AS 2002 S. 3148) eine allgemeine Rechtsweggarantie eingeführt. Danach hat jede Person bei Rechtsstreitigkeiten, unter Vorbehalt gesetzlicher Ausnahmen, Anspruch auf Beurteilung durch eine richterliche Behörde ( Art. 29a BV ). Allerdings erfährt dieser Grundsatz gleichzeitig insofern eine Einschränkung, als in Art. 189 Abs. 4 BV explizit bestimmt wird: "Akte der Bundesversammlung und des Bundesrates können beim Bundesgericht nicht angefochten werden. Ausnahmen bestimmt das Gesetz." Die Möglichkeit gesetzlicher Ausnahmen war im Entwurf des Bundesbeschlusses über die Reform der Justiz noch nicht vorgesehen (BBl 1997 I 640 ff.; siehe dort Art. 177 Abs. 4 E-BV). In der Botschaft wird dazu ausgeführt, aufgrund von Art. 177 Abs. 4 des Entwurfs in Verbindung mit Art. 6 Ziff. 1 EMRK ergebe sich die Verpflichtung des Gesetzgebers, Entscheide, welche einer gerichtlichen Beurteilung unterliegen müssten, nicht in die Zuständigkeit des Bundesrates, sondern der Departemente zu legen. Das Gleiche gelte unter dem Aspekt von Art. 13 EMRK : Entscheide, welche Menschenrechtsgarantien beschränkten, seien nicht in die Kompetenz von Bundesrat und Bundesversammlung zu legen. Werde dies beachtet, biete die Unanfechtbarkeit bundesrätlicher Akte und solcher der Bundesversammlung keine Probleme (Botschaft über eine neue Bundesverfassung, in: BBl 1997 I 1, S. 532; vgl. auch AB 1998 N 1465, Votum Bundesrat Koller). Der in Art. 189 Abs. 4 BV im zweiten Satz enthaltene Gesetzesvorbehalt wurde von der ständerätlichen Verfassungskommission eingebracht und beruht auf der Überlegung, dass gewisse Verfügungen, gegen die aufgrund der Europäischen Menschenrechtskonvention ein Rechtsmittel gegeben sein müsste - sei es aufgrund ihrer grossen Tragweite bzw. ihres politischen Gehalts (z.B. atomrechtliche Bewilligungen), sei es aufgrund sachlogischer Überlegungen (z.B. beamtenrechtliche Verfügungen betreffend dem Bundesrat direkt unterstellte Chefbeamten) - sich nicht für eine Delegation an die Verwaltung eignen. In solchen Fällen soll es daher dem Gesetzgeber möglich sein, Akte des Bundesrates oder der Bundesversammlung - entgegen der "Regelvermutung für die Nichtanfechtbarkeit" und trotz beibehaltener Zuständigkeit - einer bundesgerichtlichen Überprüfung zugänglich zu machen (vgl. AB 1998 S 1018, Voten von Berichterstatter Wicki und Bundesrat Koller; AB 1998 N 1463, Votum Fischer; ferner: Sägesser, a.a.O., Rz. 1125 ff. zu Art. 190 BV ). Nach dieser Konzeption sind künftig für Anordnungen, gegen die gemäss Art. 6 Ziff. 1 bzw. Art. 13 EMRK ein Rechtsmittel gegeben sein muss, nachgeordnete Behörden zuständig zu erklären, um damit den erforderlichen Instanzenzug zu ermöglichen, soweit nicht der Gesetzgeber Akte der Bundesversammlung oder des Bundesrates ausnahmsweise im Sinne von Art. 189 Abs. 4 BV der Überprüfung durch das Bundesgericht unterwerfen will. Ein Delegationsautomatismus, wie ihn Art. 47 Abs. 6 des Regierungs- und Verwaltungsorganisationsgesetzes vom 21. März 1997 (RVOG; SR 172.010) für Geschäfte des Bundesrates vorsieht, soweit Verfügungen zu treffen sind, die nach dem Bundesrechtspflegegesetz der Verwaltungsgerichtsbeschwerde an das Bundesgericht unterliegen, besteht nach den genannten Bestimmungen nicht für Fälle, wo die Verfassung die Zuständigkeit des Bundesrates vorsieht und als Beschwerdeinstanz nur diese originär zuständige Behörde in Frage kommt. Die Delegation von Entscheidungskompetenzen an nachgeordnete Verwaltungseinheiten erfolgt in diesen Konstellationen vielmehr nach Massgabe der vom Gesetz- oder Verordnungsgeber für die einzelnen Sachgebiete vorgesehenen organisationsrechtlichen Bestimmungen.</w:t>
      </w:r>
    </w:p>
    <w:p>
      <w:r>
        <w:rPr>
          <w:b/>
        </w:rPr>
        <w:t>E. 4.2.2</w:t>
      </w:r>
    </w:p>
    <w:p>
      <w:r>
        <w:t>Im hier interessierenden Bereich steht die Verfassung selber einer Delegation von Entscheidungszuständigkeiten vom Bundesrat an ein Departement (bzw. ein Amt) nicht entgegen: So verzichtete der Verfassungsgeber in Art. 121 Abs. 2 BV - entgegen dem bundesrätlichen Entwurf (BBl 1997 I 589 ff.; vgl. dort Art. 112 Abs. 2) - auf die Festlegung einer Organkompetenz für die Anordnung politischer Ausweisungen. Demgegenüber erklären die Art. 184 und 185 BV (ebenso wie bereits Art. 102 Ziff. 8-10 aBV ) zwar den Bundesrat als für die auswärtigen Angelegenheiten besorgt und mit der Wahrung der inneren und äusseren Sicherheit betraut. Wie aber bereits unter dem Geltungsbereich der alten Bundesverfassung bleibt auch hier - abgesehen von staatsleitenden bzw. grundlegenden politischen Entscheiden und unter Beachtung der Gesetzgebung (vgl. insbesondere die Grundsätze von Art. 47 und 48 RVOG ) - praktisch ungeschmälert Raum für eine Übertragung entsprechender Entscheidungskompetenzen an die Departemente im Sinne von Art. 177 Abs. 3 BV (vgl. zur früheren Bestimmung von Art. 103 Abs. 2 aBV : Alfred Kölz, in: Kommentar aBV, Rz. 12 zu Art. 103 Abs. 2/3 aBV sowie Kurt Eichenberger, in: Kommentar aBV, Rz. 16 zu Art. 102 aBV ), wobei der Bundesrat die Delegation auf dem Wege der Verordnung vornehmen kann ( Art. 47 Abs. 2 RVOG ; vgl. dazu und zum Ganzen: Bernhard Ehrenzeller, in: St. Galler Kommentar, a.a.O., Rz. 25 ff. zu Art. 177 BV sowie Sägesser, a.a.O., Rz. 795 ff. zu Art. 177 BV ). Nach dem Gesagten erscheint es infolgedessen verfassungsrechtlich zulässig und mit Blick auf die im Anwendungsbereich von Art. 13 EMRK liegenden Fälle sogar geboten, wenn der Entwurf zu einem neuen Ausländergesetz (E-AuG; BBl 2002 S. 3851 ff.) das Bundesamt für Polizei als zuständig erklärt, zur Wahrung der inneren und äusseren Sicherheit Einreiseverbote (Art. 66 Abs. 2 E-AuG) und Ausweisungen (Art. 67 Abs. 1 E-AuG) zu verfügen. Allerdings will sich der Bundesrat auch weiterhin vorbehalten, in politisch sehr bedeutenden Fällen Ausweisungen direkt gestützt auf Art. 121 Abs. 2 BV selber anzuordnen (vgl. dazu die Botschaft zum AuG, in: BBl 2002 S. 3741 f., S. 3761 sowie S. 3813 f.). Soweit der Gesetzgeber gegen solche Beschlüsse nicht im Sinne von Art. 189 Abs. 4 Satz 2 BV (in der Fassung gemäss BB über die Reform der Justiz) den Rechtsmittelweg ans Bundesgericht zu öffnen gedenkt (wovon bisher - soweit ersichtlich - keine Rede war), obliegt es dem Bundesrat, in Fällen, in denen eine materielle Konventionsverletzung (z.B. von Art. 8 oder Art. 3 EMRK ) durch die Entfernungsmassnahme und damit das Vorhandensein eines Anspruches auf eine wirksame Beschwerde gemäss Art. 13 EMRK nicht klarerweise zu verneinen ist, auf die Ausübung der ihm verfassungsunmittelbar eingeräumten Verfügungskompetenz zu verzichten und den erstinstanzlichen Entscheid dem Departement bzw. dem Bundesamt für Polizei zu überlassen (vgl. in diesem Sinne auch Zünd, a.a.O., Rz. 6.88 in fine). Zwar ist zur Zeit der Bundesbeschluss über die Reform der Justiz noch nicht in Kraft (vgl. AS 2002 S. 3147); die darin als Ausnahme zur allgemeinen Rechtsweggarantie vorgesehene Regel der Nichtanfechtbarkeit von Akten der Bundesversammlung und des Bundesrates lässt jedoch die der geltenden Verfassung zugrunde liegende Konzeption der Gewaltentrennung in allgemeiner Weise erkennen. Danach sollen Regierungsakte des Bundesrates (sog. "actes de gouvernement"), zu denen Fragen der auswärtigen Beziehungen und Entscheide in den Bereichen der inneren und äusseren Sicherheit zu zählen sind, von einer gerichtlichen Überprüfung ausgeschlossen bleiben (Sägesser, a.a.O., Rz. 1136-1138 zu Art. 190 BV , unter Hinweis auf die Materialien). Auch die politische Ausweisung gehört zu diesen "actes de gouvernement" (Botschaft über eine neue Bundesverfassung, in: BBl 1997 I 1, S. 338 oben; vgl. auch Andreas Kley, in: St. Galler Kommentar, a.a.O., Rz. 15 zu Art. 29a BV ).</w:t>
      </w:r>
    </w:p>
    <w:p>
      <w:r>
        <w:rPr>
          <w:b/>
        </w:rPr>
        <w:t>E. 4.2.3</w:t>
      </w:r>
    </w:p>
    <w:p>
      <w:r>
        <w:t>Einer Bejahung der Zuständigkeit des Bundesgerichts, als Beschwerdeinstanz über den angefochtenen Beschluss des Bundesrates zu befinden, stehen demnach gewichtige Hindernisse entgegen. Dies muss umso mehr gelten, als bereits nach bisherigem Recht in erster Instanz eine nachgeordnete Verwaltungsbehörde hätte entscheiden können, womit die Möglichkeit des verwaltungsinternen Weiterzugs bestanden hätte und damit ein im Sinne von Art. 13 EMRK taugliches Rechtsmittel vorhanden gewesen wäre. So sieht nämlich Art. 11 Abs. 1 der Organisationsverordnung vom 17. November 1999 für das Eidgenössische Justiz- und Polizeidepartement (OV-EJPD; SR 172.213.1) vor: "Das BAP ist zuständig für das Verhängen von Einreisesperren gegen Ausländerinnen und Ausländer, welche die innere oder äussere Sicherheit der Schweiz gefährden. Politisch bedeutsame Fälle sowie Anträge auf Ausweisung aus der Schweiz nach Artikel 121 Absatz 2 Bundesverfassung legt es nach Rücksprache mit dem EDA dem Departement vor, das sie dem Bundesrat zum Entscheid unterbreiten kann." Als blosses Einreiseverbot hätte der angefochtene Entscheid demnach in der Zuständigkeit des Bundesamtes für Polizei belassen werden können, wogegen die Beschwerde an das Eidgenössische Justiz- und Polizeidepartement offen gestanden hätte ( Art. 47a VwVG ; vgl. zum Genügen einer solchen Beschwerdemöglichkeit im Zusammenhang mit Art. 13 EMRK : BGE 111 Ib 68 E. 4 sowie Entscheide der EKMR i.S. F. und F. gegen Schweiz vom 6. März 1987, publ. in: VPB 51/1987 Nr. 88 S. 505 sowie i.S. B.S. gegen Schweiz vom 13. Dezember 1991, publ. in: VPB 56/1992 Nr. 50 S. 444).</w:t>
      </w:r>
    </w:p>
    <w:p>
      <w:r>
        <w:rPr>
          <w:b/>
        </w:rPr>
        <w:t>E. 4.2.4</w:t>
      </w:r>
    </w:p>
    <w:p>
      <w:r>
        <w:t>Im Übrigen hat das Bundesgericht bereits im Zusammenhang mit dem Ausschluss der Verwaltungsgerichtsbeschwerde im Asyl- und Wegweisungsverfahren betont, Art. 13 EMRK führe nicht dazu, dass das Bundesgericht - entgegen dem, was aus BGE 111 Ib 68 E. 3 geschlossen werden könnte - in Abweichung von klarem Bundesrecht (Art. 100 Abs. 1 lit. b Ziff. 2 und 4 OG) auf eine bei ihm erhobene Beschwerde einzutreten habe. Vielmehr liege es am Gesetzgeber, einen entsprechenden Rechtsmittelweg vorzusehen, zumal hier - im Unterschied zu den von Art. 6 Ziff. 1 EMRK erfassten Fällen - als Beschwerdeinstanz auf Bundesebene nicht allein das Bundesgericht in Frage komme (vgl. Urteil 2A.215/1988 vom 12. Mai 1989, E. 2d). Stammte der angefochtene Entscheid im zitierten Fall vom Eidgenössischen Justiz- und Polizeidepartement, so muss das dort Ausgeführte erst recht gelten für Beschlüsse des Bundesrates, geht es doch nicht an, die Kompetenzabgrenzung zwischen Regierung und Gericht in diesem aus der Sicht des Gewaltenteilungsgrundsatzes heiklen Bereich contra legem abzuändern (in diesem Sinne auch Arthur Haefliger/Frank Schürmann, Die Europäische Menschenrechtskonvention und die Schweiz, 2. Aufl., Bern 1999, S. 342, insbesondere Fn. 33). Dies wird künftig verfassungsrechtlich noch verstärkt zum Ausdruck gebracht, indem der Gesetzgeber - wie erwähnt - selbst darüber zu entscheiden hat, wann bundesrätliche Akte einer höchstrichterlichen Überprüfung zugänglich gemacht werden sollen ( Art. 189 Abs. 4 BV , Fassung gemäss BB über die Reform der Justiz).</w:t>
      </w:r>
    </w:p>
    <w:p>
      <w:r>
        <w:rPr>
          <w:b/>
        </w:rPr>
        <w:t>E. 4.3</w:t>
      </w:r>
    </w:p>
    <w:p>
      <w:r>
        <w:t>Eine abschliessende Beurteilung der vorstehend aufgeworfenen Zuständigkeitsfragen erübrigt sich jedoch. Wenn man die Zuständigkeit des Bundesgerichts trotz der dargestellten Hindernisse bejaht, um Art. 13 EMRK Nachachtung zu verschaffen, muss die Beschwerde aus den im Folgenden genannten Gründen abgewiesen werden.</w:t>
      </w:r>
    </w:p>
    <w:p>
      <w:r>
        <w:rPr>
          <w:b/>
        </w:rPr>
        <w:t>E. 5.1</w:t>
      </w:r>
    </w:p>
    <w:p>
      <w:r>
        <w:t>Mit der Verwaltungsgerichtsbeschwerde kann grundsätzlich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Dem Bundesgericht ist es daher verwehrt, sein eigenes Ermessen - im Sinne einer Überprüfung der Zweckmässigkeit (Opportunität) der angeordneten Massnahme - an die Stelle desjenigen des Bundesrates zu setzen (vgl. BGE 125 II 521 E. 2a S. 523 mit Hinweisen). Darüber hinaus hat sich das Bundesgericht im Rahmen der Verhältnismässigkeitsprüfung, welche (als Rechtsfrage gemäss Art. 104 lit. a OG ) an sich frei vorzunehmen ist, aufgrund der (aussen- und sicherheits-) politischen Implikationen in der vorliegenden Fallkonstellation bei der Würdigung der Tatsachen und der Gewichtung der in Frage stehenden öffentlichen Interessen grosse Zurückhaltung aufzuerlegen.</w:t>
      </w:r>
    </w:p>
    <w:p>
      <w:r>
        <w:rPr>
          <w:b/>
        </w:rPr>
        <w:t>E. 5.2</w:t>
      </w:r>
    </w:p>
    <w:p>
      <w:r>
        <w:t>Dem Beschwerdeführer wurde vor Bundesgericht antragsgemäss Akteneinsicht gewährt und Gelegenheit gegeben, im Rahmen einer Replik dazu Stellung zu nehmen. Soweit an der Vertraulichkeit einzelner Aktenstücke festgehalten wurde ( Art. 27 VwVG ), sind ihm (entsprechend Art. 28 VwVG ) Zusammenfassungen des wesentlichen Inhalts derselben zugänglich gemacht worden. Der Beschwerdeführer rügt eine unrichtige Feststellung des rechtserheblichen Sachverhalts.</w:t>
      </w:r>
    </w:p>
    <w:p>
      <w:r>
        <w:rPr>
          <w:b/>
        </w:rPr>
        <w:t>E. 5.2.1</w:t>
      </w:r>
    </w:p>
    <w:p>
      <w:r>
        <w:t>Laut Verfügung des Bundesamtes für Polizei vom 6. Juli 2001 lagen dem bundesrätlichen Beschluss im Wesentlichen folgende tatsächlichen Feststellungen zugrunde: Der Beschwerdeführer halte sich seit ungefähr 1997/1998 mehrheitlich in Albanien und im Kosovo auf. Er sei LPK-Aktivist der ersten Stunde und in führender Funktion sowohl für den Fonds "Vendlindja Thërret" als auch für die logistische Aufrüstung der UÇK verantwortlich gewesen. Gemäss zuverlässigen Quellen sei er in das organisierte Verbrechen in Albanien involviert. Der Beschwerdeführer bestreitet diesen Sachverhalt. Er räumt zwar ein, 1999 als Vertreter der UÇK an den Friedensverhandlungen in Rambouillet teilgenommen zu haben und aufgrund seiner politischen Tätigkeit "gelegentlich" im Kosovo geweilt zu haben. Er sei jedoch seit 1999 nicht mehr Mitglied der LPK, wogegen er nunmehr im Vorstand der demokratischen Partei Kosovo "PDK" sei, welche im Kosovo sowohl in der Exekutive wie in der Legislative vertreten sei. Die UÇK habe zum Zeitpunkt des bundesrätlichen Beschlusses nicht mehr bestanden. Wohl sei gegen den Verein "Vendlindja Thërret" eine Strafuntersuchung geführt worden; die Gelder des Vereins seien jedoch inzwischen wieder freigegeben worden. Gegen den Beschwerdeführer selbst sei nie eine Strafuntersuchung eingeleitet worden und er sei nicht vorbestraft. Mit dem Konflikt um Mazedonien habe er nichts zu tun und er habe auch keine Kontakte zum organisierten Verbrechen. Im Übrigen habe er 1997/1998 bei seiner Familie in X.________ gelebt und sei nur gelegentlich ins Ausland gereist.</w:t>
      </w:r>
    </w:p>
    <w:p>
      <w:r>
        <w:rPr>
          <w:b/>
        </w:rPr>
        <w:t>E. 5.2.2</w:t>
      </w:r>
    </w:p>
    <w:p>
      <w:r>
        <w:t>In den Akten des Bundesamtes für Polizei wird festgehalten, verschiedene ethnisch albanische bewaffnete Gruppen, insbesondere die UÇK, seien im Kosovo und den angrenzenden Gebieten mit den Netzwerken der Schwerstkriminalität verstrickt, da sie für die Kampfführung auf deren logistische und finanzielle Unterstützung angewiesen seien. Es existierten sodann auch Verflechtungen zwischen der Schwerstkriminalität und den lokalen politischen Strukturen im Kosovo. Zumindest im Bereich des Waffenhandels seien die Drahtzieher und Organisatoren sowohl in den Reihen der aktiven Politiker wie auch in der Führungsschicht der UÇK zu suchen. In der Schweiz existierten Ableger aller bekannten albanischen politischen Parteien und Gruppierungen, seien es parlamentarisch tätige oder extremistisch orientierte. Es sei davon auszugehen, dass in der Schweiz die gleichen Verflechtungen zwischen politischen Vereinigungen, bewaffneten Gruppen und Schwerstkriminalität bestünden wie im Kosovo. Rund ein Fünftel der in der Schweiz ansässigen albanischen UÇK-Nahestehenden seien auch im kriminellen Bereich aufgefallen. Hierzulande belegt seien Verwicklungen kosovo-albanischer Reisebüros in die Geldwäscherei, Fälle von Waffenschmuggel und Aktivitäten im Drogenhandel. Die innere Sicherheit der Schweiz, aber auch ihre Aussenbeziehungen, würden durch die Aktivitäten ethnisch albanischer krimineller Netzwerke, welche einerseits mit bewaffneten Gruppen und andererseits mit der politischen Ebene im Kosovo verknüpft seien, beeinträchtigt. Zudem bestünde die Gefahr einer teilweisen Infiltration der Schweizer Wirtschaft durch diese Netzwerke. Die 1996 gegründete Befreiungsarmee von Kosovo UÇK (Ushtria Çlirimtare e Kosovës) habe die Führung des bewaffneten Befreiungskampfes für die volle Unabhängigkeit Kosovos bezweckt. Sie gelte seit September 1999 offiziell als aufgelöst. Es sei jedoch eine Tatsache, dass Teile der UÇK in den Untergrund abgetaucht seien. Verschiedene ehemalige UÇK-Führer seien heute in Südserbien und Mazedonien in Rebellengruppen aktiv. Die ursprünglich 1982 in Deutschland gegründete Volksbewegung von Kosovo LPK (Levizja Popullare e Kosovës) habe die Vereinigung aller Albaner in Albanien sowie in deren Siedlungsgebieten im Kosovo, in Mazedonien, Montenegro und Südserbien zu einem eigentlichen Staatsgebilde zum Ziel. Nach der Unterzeichnung des Friedensvertrags im Jahre 1999 sei die Umwandlung der LPK in eine Partei erfolgt, aus der schliesslich die "Partei für den demokratischen Fortschritt Kosovos" PDK hervorgegangen sei. Ein Kern der alten LPK habe indessen fortbestanden und setze sich für die Durchsetzung der Unabhängigkeit des Kosovos mit allen Mitteln ein. Die LPK habe Vertretungen in mehreren europäischen Ländern aufgebaut, darunter der Schweiz. Die LPK habe die Kontrolle über den Fonds "Vendlindja Thërret", mit welchem u.a. hauptsächlich die UÇK im Kosovo finanziell und logistisch unterstützt worden sei. Im Juli 1998 habe die Bundesanwaltschaft ein gerichtspolizeiliches Ermittlungsverfahren gegen den Fonds eröffnet wegen Verdachts auf Widerhandlungen gegen das Kriegsmaterialgesetz, Verletzung fremder Gebietshoheit, Feindseligkeiten gegen einen Kriegführenden und kriminelle Organisation. Die Auswertung der anlässlich diverser Hausdurchsuchungen sichergestellten Unterlagen habe ergeben, dass seitens der Verantwortlichen für den Fonds in grösserem Umfang Geldmittel für den Kauf von Militärmaterial zur Verfügung gestellt worden seien und Verhandlungen für die Beschaffung von Waffen und Munition im Gesamtwert von mehreren Millionen US-Dollar zugunsten der UÇK stattgefunden hätten. Es mag zwar zutreffen, dass - wie der Beschwerdeführer angibt - gegen ihn selbst kein Strafverfahren eröffnet worden ist. Der Beschwerdeführer bestreitet indessen nicht, Mitglied der UÇK und der LPK gewesen zu sein. Auch stellt er nicht in Abrede, Mitunterschriftsberechtigter über ein Konto des Fonds "Vendlindja Thërret" gewesen zu sein. Mit Blick auf die Gesamtumstände lassen diese Erkenntnisse den Schluss zu, der Beschwerdeführer sei in oder für Organisationen tätig gewesen, deren Aktivitäten geeignet sind, die Lage im Kosovo und den angrenzenden Gebieten zusätzlich zu destabilisieren. Sodann unterhält der Beschwerdeführer laut den Unterlagen der NATO/KFOR Kontakte zu Netzwerken der organisierten Kriminalität oder ist sogar in entsprechenden Strukturen eingebunden, wobei der Hinweis auf das in seinem Familienbesitz befindliche Haus in Y.________ bzw. seine Aufenthalte im Hotel A.________ in B.________ die Zweifel daran beseitigen, dass - wie er vorbringt - lediglich eine personelle Verwechslung vorliegen soll. Dass die den erwähnten Unterlagen zugrunde liegenden Informationen der NATO/KFOR aus unzuverlässigen Quellen stammten, wie der Beschwerdeführer glauben machen will, ist durch nichts belegt. Was er im Weiteren vorbringt, ist nicht geeignet, die gegen ihn erhobenen Vorwürfe zu entkräften. Die tatsächlichen Feststellungen des Bundesrates sind, unter Berücksichtigung der schwierigen Beweislage in derartigen Fällen, nicht zu beanstanden.</w:t>
      </w:r>
    </w:p>
    <w:p>
      <w:r>
        <w:rPr>
          <w:b/>
        </w:rPr>
        <w:t>E. 5.3</w:t>
      </w:r>
    </w:p>
    <w:p>
      <w:r>
        <w:t>Der Beschwerdeführer rügt eine Verletzung des in Art. 8 EMRK garantierten Rechts auf Achtung des Familienlebens.</w:t>
      </w:r>
    </w:p>
    <w:p>
      <w:r>
        <w:rPr>
          <w:b/>
        </w:rPr>
        <w:t>E. 5.3.1</w:t>
      </w:r>
    </w:p>
    <w:p>
      <w:r>
        <w:t>Hat ein Ausländer nahe Verwandte mit gefestigtem Anwesenheitsrecht in der Schweiz und ist diese familiäre Beziehung intakt und wird sie tatsächlich gelebt, kann es das in Art. 8 Ziff. 1 EMRK bzw. in Art. 13 Abs. 1 BV garantierte Recht auf Achtung des Familienlebens verletzen, wenn ihm die Anwesenheit in der Schweiz untersagt wird ( BGE 127 II 60 E. 1d/aa S. 64 f.; 126 II 425 E. 2a S. 427, je mit Hinweisen). Über den ausländerrechtlichen Status der Ehefrau bzw. der Kinder des Beschwerdeführers ist - wie erwähnt (oben E. 3.2) - nichts Näheres bekannt. Der Beschwerdeführer selber ist im Besitz der Niederlassungsbewilligung, woran sich aufgrund des vorliegend angefochtenen Einreiseverbots einstweilen (vgl. allerdings Art. 9 Abs. 3 lit. c ANAG [SR 142.20]) nichts ändert (vgl. die Hinweise oben in E. 3.2). Die Kinder des Beschwerdeführers dürften in die Niederlassungsbewilligung ihres Vaters einbezogen worden sein ( Art. 17 Abs. 2 Satz 3 ANAG ), womit sich die Ehefrau, soweit sie nicht ihrerseits bereits im Besitze einer solchen Bewilligung ist, für den Verbleib bei den niederlassungsberechtigten (noch nicht volljährigen) Kindern auf Art. 8 EMRK stützen kann ( BGE 127 II 60 E. 1d/bb S. 65 ff.). Damit verfügt der Beschwerdeführer über nahe Familienangehörige mit gefestigtem Anwesenheitsrecht in der Schweiz. Darüber, dass die familiäre Beziehung nicht intakt ist bzw. - bis zur Anordnung des Einreiseverbots - nicht tatsächlich gelebt wurde, ist nichts bekannt. Damit kann sich der Beschwerdeführer im Verhältnis zu seiner in der Schweiz lebenden Ehefrau und den Kindern auf die in Art. 8 Ziff. 1 EMRK verankerte Garantie des Familienlebens berufen.</w:t>
      </w:r>
    </w:p>
    <w:p>
      <w:r>
        <w:rPr>
          <w:b/>
        </w:rPr>
        <w:t>E. 5.3.2</w:t>
      </w:r>
    </w:p>
    <w:p>
      <w:r>
        <w:t>Nach Art. 8 Ziff. 2 EMRK darf eine Behörde in die Ausübung des Rechts nach Ziff. 1 dieser Bestimmung nur eingreifen, soweit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5.3.3</w:t>
      </w:r>
    </w:p>
    <w:p>
      <w:r>
        <w:t>Das gegen den Beschwerdeführer verfügte Einreiseverbot stützt sich formell auf Art. 184 Abs. 3 BV , wonach der Bundesrat befugt ist, Verordnungen und Verfügungen zu erlassen, wenn die Wahrung der Interessen des Landes es erfordert; die entsprechende Kompetenz ergab sich vormals aus Art. 102 Ziff. 8 aBV . In BGE 125 II 417 E. 6b erachtete das Bundesgericht eine bundesrätliche Verordnung, die sich auf Art. 102 Ziff. 8-10 aBV stützte, als genügende gesetzliche Grundlage für einen schweren Eingriff in die Meinungsäusserungs- und Pressefreiheit, was der Europäische Gerichtshof für Menschenrechte in der Folge bestätigte (vgl. dessen Entscheid i.S. Kaptan gegen Schweiz vom 12. April 2001, publ. in: VPB 65/2001 Nr. 131 S. 1370). In seinem Entscheid in Sachen Zaoui gegen Schweiz (vom 18. Januar 2001, publ. in: VPB 65/2001 Nr. 139 S. 1403) erblickte der Gerichtshof unmittelbar in Art. 102 Ziff. 8 und 10 aBV die gesetzliche Grundlage für einen Eingriff in die Meinungsäusserungsfreiheit durch Beschlagnahme der Telefaxgeräte, Blockierung des Zugangs zum Mailsystem und zum Internet sowie Androhung der Beschlagnahme der Telefonapparate gegenüber einem Asylbewerber, der mehrere propagandistische Aufrufe für die Islamische Heilsfront (FIS), gegen die algerische Regierung sowie zum gewaltsamen Widerstand gegen letztere verfasst hatte. Insofern genügt Art. 184 Abs. 3 BV , der im Unterschied zum alten Verfassungstext die Verfügungs- und Verordnungskompetenz des Bundesrates explizit erwähnt, als rechtssatzmässige Grundlage auch für das vorliegend angefochtene Einreiseverbot. Im Weiteren dient diese Massnahme der Wahrung der Landesinteressen im Ausland sowie der inneren und äusseren Sicherheit, entspricht damit einem hinreichenden öffentlichen Interesse und verfolgt Ziele, die im Sinne von Art. 8 Ziff. 2 EMRK zulässig sind.</w:t>
      </w:r>
    </w:p>
    <w:p>
      <w:r>
        <w:rPr>
          <w:b/>
        </w:rPr>
        <w:t>E. 5.3.4</w:t>
      </w:r>
    </w:p>
    <w:p>
      <w:r>
        <w:t>Zu prüfen ist, inwieweit der Eingriff in einer demokratischen Gesellschaft notwendig bzw. verhältnismässig ist. Das vorliegend angefochtene Einreiseverbot wurde namentlich damit begründet, die Aktivitäten des Beschwerdeführers seien vor dem Hintergrund seines Bezuges zur Schweiz geeignet, die Beziehungen der Schweiz zu Mazedonien und zu Drittstaaten zu gefährden, welche sich wie die Schweiz für eine friedliche Lösung im Balkan einsetzten und die kriegerischen Aktivitäten der Verfechter eines Grossalbaniens verurteilten. Das öffentliche Interesse an einer Fernhaltung des Beschwerdeführers hat - insbesondere mit Blick auf die neutralitätspolitische Ausrichtung der Schweiz - als äusserst gewichtig zu gelten. Der Beschwerdeführer bringt vor, durch die Einreisesperre sei es ihm verunmöglicht, bei seiner Familie in X.________ zu leben. Der Ehegattin und den Kindern sei nicht zuzumuten, mit dem Beschwerdeführer im Ausland zu leben. Die Ehegattin lebe bereits seit 1987 in der Schweiz und habe hier eine Arbeitsstelle. Von den drei Kindern seien zwei in der Schweiz geboren und das älteste kurz nach der Geburt in die Schweiz gelangt. Alle drei Kinder besuchten hier die Schule und hätten sich in die Schweizer Verhältnisse eingelebt; die Heimatsprache spräche keines mehr. Es dürfte insoweit zutreffen, dass es für die Ehefrau und die Kinder mit erheblichen Schwierigkeiten verbunden wäre, wenn sie dem Beschwerdeführer in dessen Heimatland nachfolgen müssten. Andererseits ist zu berücksichtigen, dass der Beschwerdeführer aufgrund seiner häufigen und andauernden Landesabwesenheit bereits vor Verhängung des angefochtenen Einreiseverbots in beträchtlicher Weise freiwillig auf die Pflege des Familienlebens verzichtet hatte. Dem Beschwerdeführer war es offenbar wichtiger, seinen Aktivitäten im Heimatland nachzugehen, was nicht zuletzt mit Blick auf seinen Status als anerkannter Flüchtling, auf den er sich noch heute beruft, erstaunt. Die familiäre Beziehung könnte daher nahezu im bisherigen Umfang auch im Rahmen von Besuchsaufenthalten der Ehefrau und der Kinder in Albanien oder im Kosovo gepflegt werden. Zu erinnern ist aber auch daran, dass es dem Beschwerdeführer unbenommen ist, zu Besuchszwecken um eine Bewilligung zur Einreise zu ersuchen. Im Übrigen ist auch nicht ausgeschlossen, dass er, soweit er sich an die ihm in Ziff. 2 der Verfügung auferlegten Bedingungen hält und die ihm zur Last gelegten Aktivitäten einstellt, dereinst um Wiedererwägung des Beschlusses wird ersuchen können. Unter Berücksichtigung sämtlicher Umstände überwiegt daher das öffentliche Interesse an einer Fernhaltung des Beschwerdeführers sein privates Interesse und das seiner Familie an einem Verbleib in der Schweiz, womit der Eingriff in das Recht auf Achtung des Familienlebens gerechtfertigt ist.</w:t>
      </w:r>
    </w:p>
    <w:p>
      <w:r>
        <w:rPr>
          <w:b/>
        </w:rPr>
        <w:t>E. 5.4</w:t>
      </w:r>
    </w:p>
    <w:p>
      <w:r>
        <w:t>Nichts zu seinen Gunsten kann der Beschwerdeführer aus dem ebenfalls in Art. 8 EMRK garantierten Recht auf Achtung des Privatlebens ableiten. Da es sich bei ihm nicht um einen Ausländer der "zweiten Generation" handelt, ist nicht von einem kombinierten Schutzbereich von Privat- und Familienleben auszugehen. Vielmehr kommt in solchen Konstellationen der Garantie des Privatlebens gegenüber jener des Familienlebens lediglich Auffangfunktion zu, soweit qualifizierte Familienbande nicht oder nicht mehr bestehen (vgl. dazu BGE 126 II 377 E. 2c/aa S. 384 f. mit Hinweisen; Urteil 2A.471/2001 vom 29. Januar 2002, E. 2b), was hier indessen der Fall ist. Im Übrigen reichen die vom Beschwerdeführer ins Feld geführten - nicht über das übliche Mass hinausgehenden - Kontakte zu Bekannten und Verwandten und allein die Dauer der Anwesenheit im Land (seit 1986), welche aufgrund seiner häufigen Aufenthalten und politischen Aktivitäten in seinem Heimatland stark zu relativieren ist, bei weitem nicht aus, um unter diesem Titel ausnahmsweise einen Bewilligungsanspruch zu begründen.</w:t>
      </w:r>
    </w:p>
    <w:p>
      <w:r>
        <w:rPr>
          <w:b/>
        </w:rPr>
        <w:t>E. 5.5</w:t>
      </w:r>
    </w:p>
    <w:p>
      <w:r>
        <w:t>Nach dem soeben Gesagten kann von einer willkürlichen Verweigerung der Einreise des Beschwerdeführers nicht die Rede sein, weshalb er auch aus Art. 12 Abs. 4 UNO-Pakt II nichts zu seinen Gunsten ableiten kann (eingehend zu dieser Bestimmung BGE 122 II 433 E. 3c S. 442 ff.). Im Übrigen wäre der Eingriff in die Garantien von Art. 12 UNO-Pakt II gemäss dessen Abs. 3 - ebenso wie der Eingriff ins Familienleben gemäss Art. 8 Ziff. 2 EMRK (dazu oben E. 5.3) - gerechtfertigt. Schliesslich steht der vom Beschwerdeführer ebenfalls angerufene Art. 13 UNO-Pakt II , welcher Garantien im Ausweisungsverfahren vorsieht, einer politischen Ausweisung ( Art. 121 Abs. 2 BV bzw. Art. 70 aBV ), welche üblicherweise ohne Anhörung verfügt wird und gegen die kein Rechtsmittel offen steht, nicht entgegen, erfolgen doch entsprechende Anordnungen aus Gründen der nationalen Sicherheit (Botschaft betreffend den Beitritt zu den internationalen Menschenrechtspakten von 1966, in: BBl 1991 I 1189, S. 1201 f.). Nichts anderes hat vorliegend hinsichtlich des aus vergleichbaren Gründen angeordneten Einreiseverbots zu gelten.</w:t>
      </w:r>
    </w:p>
    <w:p>
      <w:r>
        <w:rPr>
          <w:b/>
        </w:rPr>
        <w:t>E. 6</w:t>
      </w:r>
    </w:p>
    <w:p>
      <w:r>
        <w:t>Nach dem Gesagten ist die Verwaltungsgerichtsbeschwerde - soweit darauf überhaupt eingetreten werden kann - abzuweisen. 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