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2A.86/2001 vom 6. März 2001</w:t>
      </w:r>
    </w:p>
    <w:p>
      <w:r>
        <w:t>Bundesgericht, 2001-03-06, FR</w:t>
      </w:r>
    </w:p>
    <w:p>
      <w:r>
        <w:rPr>
          <w:b/>
        </w:rPr>
        <w:t xml:space="preserve">Quelle: </w:t>
      </w:r>
      <w:r>
        <w:t>https://mcp.opencaselaw.ch/entscheid/bger_2A.86_2001</w:t>
      </w:r>
    </w:p>
    <w:p>
      <w:r>
        <w:t>FR: TF 2A.86/2001 du 6 mars 2001</w:t>
      </w:r>
    </w:p>
    <w:p>
      <w:r>
        <w:t>IT: TF 2A.86/2001 del 6 marzo 2001</w:t>
      </w:r>
    </w:p>
    <w:p>
      <w:pPr>
        <w:pStyle w:val="Heading2"/>
      </w:pPr>
      <w:r>
        <w:t>Regeste</w:t>
      </w:r>
    </w:p>
    <w:p>
      <w:r>
        <w:t>Droit de cité et droit des étrangers</w:t>
      </w:r>
    </w:p>
    <w:p>
      <w:pPr>
        <w:pStyle w:val="Heading2"/>
      </w:pPr>
      <w:r>
        <w:t>Erwägungen</w:t>
      </w:r>
    </w:p>
    <w:p>
      <w:r>
        <w:rPr>
          <w:b/>
        </w:rPr>
        <w:t>E. 1</w:t>
      </w:r>
    </w:p>
    <w:p>
      <w:r>
        <w:t>La voie du recours de droit administratif est ouverte contre l'arrêt entrepris. D'après l' art. 108 al. 2 OJ , le mémoire de recours doit notamment contenir des conclusions et une motivation. Il ne faut pas poser des exigences trop strictes quant à la formulation des conclusions et des motifs présentés dans un recours de droit administratif. Il suffit qu'on puisse déduire de l'acte de recours sur quels points et pour quelles raisons la décision attaquée est contestée ( ATF 118 Ib 134 consid. 2 p. 135/136). Le recourant ne formule pas de conclusions précises, si ce n'est d'être libéré, ni d'argumentation topique. En réalité, il ne développe aucune motivation. Or, on pouvait attendre de lui un minimum de motivation topique, puisqu'il a procédé avec un avocat au niveau cantonal. En outre, il a déjà interjeté un recours au Tribunal fédéral et a reçu son arrêt du 12 octobre 2000, de sorte qu'il savait quels problèmes il pouvait soumettre à l'autorité de céans. Dès lors, même si l'on tient compte qu'il a été rédigé par un "laïc", le recours ne satisfait pas aux exigences de l' art. 108 al. 2 OJ . Il est par conséquent irrecevable.</w:t>
      </w:r>
    </w:p>
    <w:p>
      <w:r>
        <w:rPr>
          <w:b/>
        </w:rPr>
        <w:t>E. 2</w:t>
      </w:r>
    </w:p>
    <w:p>
      <w:r>
        <w:t>Si le Tribunal fédéral était entré en matière sur le recours, il aurait dû le rejeter sur le principe au vu de l'argumentation convaincante de l'arrêt attaqué. Il aurait tout au plus relevé une erreur quant au calcul de la durée maximale de la détention du recourant. Ce calcul doit partir en l'espèce du 17 août 2000, date de la mise en détention de l'intéressé, et non pas du 18 août 2000, date de l'arrêt du Tribunal cantonal confirmant la décision du Service cantonal du 17 août 2000 ordonnant cette mise en détention.</w:t>
      </w:r>
    </w:p>
    <w:p>
      <w:r>
        <w:rPr>
          <w:b/>
        </w:rPr>
        <w:t>E. 3</w:t>
      </w:r>
    </w:p>
    <w:p>
      <w:r>
        <w:t>Vu ce qui précède, le recours est irrecevable. Succombant, le recourant devrait en principe supporter les frais judiciaires ( art. 156 al. 1 OJ ). Toutefois, dans les cas de ce genre, où l'intéressé manque de moyens financiers et subit une atteinte importante à sa liberté personnelle, le Tribunal fédéral statue sans frais ( art. 154 OJ ). Il n'y a pas de raison particulière de déroger à cette pratique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