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2A.82/2007 vom 27. April 2007</w:t>
      </w:r>
    </w:p>
    <w:p>
      <w:r>
        <w:t>Bundesgericht, 2007-04-27, DE</w:t>
      </w:r>
    </w:p>
    <w:p>
      <w:r>
        <w:rPr>
          <w:b/>
        </w:rPr>
        <w:t xml:space="preserve">Quelle: </w:t>
      </w:r>
      <w:r>
        <w:t>https://mcp.opencaselaw.ch/entscheid/bger_2A.82_2007</w:t>
      </w:r>
    </w:p>
    <w:p>
      <w:r>
        <w:t>FR: TF 2A.82/2007 du 27 avril 2007</w:t>
      </w:r>
    </w:p>
    <w:p>
      <w:r>
        <w:t>IT: TF 2A.82/2007 del 27 aprile 2007</w:t>
      </w:r>
    </w:p>
    <w:p>
      <w:pPr>
        <w:pStyle w:val="Heading2"/>
      </w:pPr>
      <w:r>
        <w:t>Regeste</w:t>
      </w:r>
    </w:p>
    <w:p>
      <w:r>
        <w:t>Ausweisung | Bürgerrecht und Ausländerrecht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Gegen die sich - auch im zweiten Urteil des Verwaltungsgerichts -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 Anfechtungsgegenstand bildet dabei aber einzig das verwaltungsgerichtliche Urteil (vgl. Art. 98 lit. g i.V. mit Art. 98a OG ). Soweit der Beschwerdeführer auch die Aufhebung des Departementsentscheides bzw. der Verfügung des Ausländeramtes verlangt, ist auf sein Begehren nicht einzutreten (vgl. BGE 125 II 29 E. 1c S. 33).</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 Die vom Beschwerdeführer unverlangt eingereichte Eingabe vom 18. April 2007 (Vorbescheid der IV-Stelle des Kantons Thurgau vom 13. April 2007, wonach rückwirkend ab 1. Oktober 2004 "ein Anspruch auf eine ganze [100 %] Rente" bestehe), ist insoweit unbeachtlich.</w:t>
      </w:r>
    </w:p>
    <w:p>
      <w:r>
        <w:rPr>
          <w:b/>
        </w:rPr>
        <w:t>E. 3.1</w:t>
      </w:r>
    </w:p>
    <w:p>
      <w:r>
        <w:t>Das Bundesgericht hat die nach der Rechtsprechung für die Ausweisung eines "Ausländers der zweiten Generation" geltenden Kriterien im Rückweisungsentscheid vom 14. August 2006 aufgeführt (E. 2) und sie im Falle des Beschwerdeführers zum damaligen Zeitpunkt als (noch) nicht erfüllt betrachtet. Es wies das Verwaltungsgericht an, die Verhältnismässigkeit der Ausweisung neu zu prüfen (vgl. vorne "B."), und erwog namentlich (E. 3.5): "Falls aufgrund dieser erweiterten Prüfung eine gewisse Aussicht bestehen sollte, dass der Beschwerdeführer sein bisheriges kriminelles Verhalten nicht (bzw. nicht in einem vergleichbaren Masse) fortsetzen wird, ist von einer Ausweisung abzusehen und ihm für den Fall, dass er wieder rückfällig wird, die Ausweisung (erneut) anzudrohen. Rechtfertigt auch die Berücksichtigung der aktuellen Situation keine bessere Prognose oder nimmt der Beschwerdeführer die ihm gegebenenfalls gebotene Chance nicht wahr, muss er die Sanktion der Ausweisung in die Türkei in Kauf nehmen." Nicht nur das Verwaltungsgericht, sondern auch das Bundesgericht ist an diese im rechtskräftigen Rückweisungsentscheid vom 14. August 2006 festgehaltene Anweisung gebunden.</w:t>
      </w:r>
    </w:p>
    <w:p>
      <w:r>
        <w:rPr>
          <w:b/>
        </w:rPr>
        <w:t>E. 3.2</w:t>
      </w:r>
    </w:p>
    <w:p>
      <w:r>
        <w:t>Der zuhanden der IV-Stelle des Kantons Thurgau am 3. Juni 2006 erstellte Arztbericht von Dr. Y.________ (Eidg. Facharzt für Psychiatrie und Psychotherapie) gibt dem Beschwerdeführer eine "schlechte Prognose". Diese Beurteilung bezieht sich, wie aus den gestellten Fragen hervorgeht, auf den seelischen Zustand und das soziale Verhalten des Beschwerdeführers sowie auf die Möglichkeit seiner beruflichen Eingliederung. Massgebend für die allfällige Ausweisung ist jedoch gemäss den Ausführungen des Bundesgerichts in seinem Rückweisungsentscheid vom 14. August 2006 das Risiko der Fortsetzung des bisherigen kriminellen Verhaltens (vgl. vorne E. 3.1). Darüber lässt sich dem erwähnten Gutachten direkt nichts entnehmen. Die im zweiten angefochtenen Urteil (S. 6 und 7) erwähnten Vorgänge zeigen zwar, dass der Beschwerdeführer nach wie vor Umgang mit Drogen hat und sich auch sonst nicht strikte an die Rechtsordnung zu halten vermag. Der festgestellte Sachverhalt erlaubt aber noch nicht den sicheren Schluss, der Beschwerdeführer werde erneut in vergleichbarem Masse straffällig wie bei den Delikten, welche zur unbedingten Gefängnisstrafe von 15 Monaten im Jahre 2004 führten (vgl. vorne "A."); die seit der Entlassung aus dem Strafvollzug begangenen Verfehlungen sind, wie auch das angefochtene Urteil einräumt (S. 8), nicht gravierend. Sie belegen zwar die Einschätzung, dass es sich beim Beschwerdeführer um eine psychisch gestörte Persönlichkeit handelt, welche einer Therapie kaum zugänglich ist und insoweit auch kaum in der Lage sein wird, einer geregelten Erwerbstätigkeit nachzugehen. Dieser Umstand allein vermag aber die Ausweisung des hier aufgewachsenen Beschwerdeführers (Ausländer der zweiten Generation) aufgrund der Kriterien, wie sie im Rückweisungsentscheid dargestellt sind, noch nicht zu rechtfertigen. Es ist zur Zeit offen, ob der Beschwerdeführer sich einigermassen an die Rechtsordnung zu halten vermag oder ob es zu neuen schweren Verurteilungen kommen wird. Bei dieser Sachlage ist von einer Ausweisung im heutigen Zeitpunkt abzusehen, dem Beschwerdeführer aber für den Fall erneuter erheblicher Straffälligkeit diese Sanktion anzudrohen ( Art. 16 Abs. 3 ANAV ).</w:t>
      </w:r>
    </w:p>
    <w:p>
      <w:r>
        <w:rPr>
          <w:b/>
        </w:rPr>
        <w:t>E. 4</w:t>
      </w:r>
    </w:p>
    <w:p>
      <w:r>
        <w:t>Die Verwaltungsgerichtsbeschwerde erweist sich als begründet und ist gutzuheissen, soweit darauf eingetreten werden kann. Das angefochtene Urteil ist aufzuheben und die Sache ist zum Zweck der Androhung der Ausweisung an die Vorinstanz zurückzuweisen ( Art. 114 Abs. 2 OG ). Entsprechend diesem Verfahrensausgang sind keine Kosten zu erheben ( Art. 156 Abs. 2 OG ). Hingegen hat der Kanton Thurgau den Beschwerdeführer für das bundesgerichtliche Verfahren angemessen zu entschädigen ( Art. 159 Abs. 2 OG ). Das für dieses Verfahren gestellte Gesuch um unentgeltliche Rechtspflege und Verbeiständung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