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2A.79/2007 vom 15. Juni 2007</w:t>
      </w:r>
    </w:p>
    <w:p>
      <w:r>
        <w:t>Bundesgericht, 2007-06-15, DE</w:t>
      </w:r>
    </w:p>
    <w:p>
      <w:r>
        <w:rPr>
          <w:b/>
        </w:rPr>
        <w:t xml:space="preserve">Quelle: </w:t>
      </w:r>
      <w:r>
        <w:t>https://mcp.opencaselaw.ch/entscheid/bger_2A.79_2007</w:t>
      </w:r>
    </w:p>
    <w:p>
      <w:r>
        <w:t>FR: TF 2A.79/2007 du 15 juin 2007</w:t>
      </w:r>
    </w:p>
    <w:p>
      <w:r>
        <w:t>IT: TF 2A.79/2007 del 15 giugno 2007</w:t>
      </w:r>
    </w:p>
    <w:p>
      <w:pPr>
        <w:pStyle w:val="Heading2"/>
      </w:pPr>
      <w:r>
        <w:t>Regeste</w:t>
      </w:r>
    </w:p>
    <w:p>
      <w:r>
        <w:t>Lohnfestsetzung | Öffentliches Dienstverhältnis</w:t>
      </w:r>
    </w:p>
    <w:p>
      <w:pPr>
        <w:pStyle w:val="Heading2"/>
      </w:pPr>
      <w:r>
        <w:t>Erwägungen</w:t>
      </w:r>
    </w:p>
    <w:p>
      <w:r>
        <w:rPr>
          <w:b/>
        </w:rPr>
        <w:t>E. 2</w:t>
      </w:r>
    </w:p>
    <w:p>
      <w:r>
        <w:t>Die Beschwerdeführerinnen hatten im kantonalen Verfahren geltend gemacht, ihre Besoldung für das Jahr 2005 verstosse gegen das Gleichstellungsgesetz und stelle eine indirekte Diskriminierung dar, da die Lohndifferenz zwischen ihnen und den ebenfalls von der Gemeinde angestellten Primarlehrkräften zu gross sei. Sie verlangten, wie die Primarlehrkräfte gemäss der kantonalen Lohnentwicklungstabelle entlöhnt zu werden. Dabei stellten sie nicht in Frage, dass die Kindergärtnerinnen und die Primarlehrkräfte im Lohndekret Lehrpersonen nicht der gleichen Lohnstufe zugeordnet sind, woraus sich Unterschiede in der Besoldung von 14,6 bis 17,1 % ergeben. In ihrem Fall seien die Unterschiede aber erheblich grösser, was als diskriminierend zu betrachten sei. Die Vorinstanz ist zutreffend davon ausgegangen, dass es sich beim Beruf der Kindergärtnerin um einen typischen Frauenberuf handle, währenddem der Beruf des Primarlehrers, obwohl mittlerweile überwiegend von Frauen ausgeübt, aufgrund seiner historischen Prägung als geschlechtsmässig neutral zu betrachten sei und in Lohnvergleichsfragen als neutraler Vergleichsberuf gegenüber Frauenberufen herangezogen werden könne ( BGE 125 II 530 E. 2b S. 532). Sie hat ferner angenommen, dass sich der Anspruch auf diskriminierungsfreien Lohn, wie er sich aus Art. 3 Abs. 2 GlG ergibt, gegen denjenigen richte, der den Lohn bezahlt, also den Arbeitgeber. Demzufolge gelte das Lohngleichheitsgebot grundsätzlich für die Arbeitnehmer eines bestimmten Arbeitgebers oder eines von diesem abhängigen Systems; die dem Bewertungsvergleich zugeführten Tätigkeiten müssten bei ein und derselben Arbeitgeberschaft erbracht werden. Kantons-, gemeinde- oder firmenübergreifende Vergleiche oder Lohnvergleiche zwischen Kantons- und Bundesangestellten könnten nicht verlangt werden, wenn die Arbeitgeber bezüglich des Lohnsystems, der Festsetzung und Bezahlung der Löhne nicht formalrechtlich, sondern tatsächlich voneinander unabhängige Entitäten und alleinverantwortlich seien. Bei Verflechtungen müsse der Vergleich allerdings ausgeweitet werden, und es könnten auch andere juristische Personen oder öffentlichrechtliche Körperschaften als die formellrechtliche Arbeitgeberschaft belangt werden. Erlasse ein Kanton Empfehlungen für die kommunalen Besoldungsreglemente und hielten sich die Gemeinden trotz rechtlich bestehender Autonomie faktisch an diese Empfehlungen, könne auch bei der Beurteilung einer kommunalen Besoldungsordnung auf die kantonalen Empfehlungen abgestellt werden. Gegen diese grundsätzlichen Ausführungen wird in der Beschwerde zu Recht nichts vorgebracht (vgl. zum Ganzen BGE 125 I 71 E. 4d/bb S. 85/86, mit Hinweisen; Elisabeth Freivogel, in: Margrit Bigler-Eggenberger/Claudia Kaufmann, Kommentar zum Gleichstellungsgesetz, N. 104/105 zu Art. 3; Susy Stauber-Moser, Lohngleichheit und bundesgerichtliche Rechtsprechung, AJP 2006 S. 1355; Hansjörg Seiler, Gleicher Lohn für gleichwertige Arbeit, Zbl 104/2003, S. 119/120). Streitig ist allein, ob die Gemeinde im massgebenden Jahr 2005 in diesem Sinne als Arbeitgeberin sowohl der Kindergärtnerinnen als auch der in ihren Schulen beschäftigten Primarlehrkräfte zu betrachten ist.</w:t>
      </w:r>
    </w:p>
    <w:p>
      <w:r>
        <w:rPr>
          <w:b/>
        </w:rPr>
        <w:t>E. 3</w:t>
      </w:r>
    </w:p>
    <w:p>
      <w:r>
        <w:t>Gemäss der Darstellung der Vorinstanz, die mit der Beschwerde ebenfalls nicht in Frage gestellt wird, unterstehen sowohl die Kindergärtnerinnen wie die Primarlehrkräfte dem Gesetz über die Anstellung von Lehrpersonen vom 17. Dezember 2002 (GAL). Nach § 41 GAL sind beide Angestellte der entsprechenden Gemeinde bzw. des Gemeindeverbandes. Bei den Primarlehrkräften obliegt jedoch die Festlegung und Ausrichtung der Besoldung dem Kanton. Diese wird denn auch vom Kanton im Lohndekret Lehrpersonen und in der Verordnung über die Anstellung und Löhne der Lehrpersonen vom 13. Oktober 2004 (VALL) abschliessend umschrieben. Insofern sind die Primarlehrer den kantonalen Angestellten gleichgestellt. Faktisch besteht bei ihnen somit eine doppelte Arbeitgeberfunktion: Anstellungsbehörde ist die Gemeinde, während der Kanton die Besoldung festlegt und auch ausbezahlt. Demgegenüber erfolgten die Festsetzung und die Ausrichtung der Besoldung der Kindergärtnerinnen im Jahre 2005 noch durch die Gemeinden bzw. die Gemeindeverbände. Erst mit Wirkung ab 1. Januar 2006 wurden diese Aufgaben dem Kanton übertragen. Vorher bestanden seitens des Kantons keine für die Gemeinden verbindlichen Richtlinien über die Höhe der Besoldung der Kindergärtnerinnen; es wurde einzig unverbindlich empfohlen, den Vorgaben des Gleichstellungsgesetzes Rechnung zu tragen. Der Kanton gewährte den Gemeinden zwar Beiträge an die Ausgaben für die Besoldung der Kindergärtnerinnen, machte aber in Bezug auf deren Höhe keine konkrete Vorgaben. Insbesondere war die in der Beschwerde erwähnte kantonale Lohnentwicklungstabelle auf die von den Gemeinden angestellten Kindergärtnerinnen nicht anwendbar. Demzufolge waren die Gemeinden damals die alleinigen Arbeitgeberinnen der Kindergärtnerinnen. Unter diesen Umständen ist die Vorinstanz zu Recht zum Ergebnis gelangt, dass die kantonale Besoldung der Primarlehrkräfte nicht zur Begründung einer allfälligen Lohndiskriminierung der Beschwerdeführerinnen herangezogen werden kann. Zwar sind die Gemeinden auch Arbeitgeberinnen der Primarlehrer, doch ist für deren Besoldung, auf die es im vorliegenden Fall einzig ankommt, ausschliesslich der Kanton zuständig, dem somit allein die Eigenschaft des Lohnschuldners zukommt. Die Löhne der Kindergärtnerinnen wurden demgegenüber in der massgebenden Periode noch von den Gemeinden festgesetzt und ausbezahlt. Dass diese dabei an das Gleichstellungsgesetz und namentlich an das Lohndiskriminierungsverbot gebunden waren, bezieht sich auf den Vergleich innerhalb des Gemeindepersonals und besagt nicht, dass sie dessen Löhne an denjenigen der kantonalen Angestellten auszurichten hatten. Das muss trotz der formellen Arbeitgeberqualität hinsichtlich der vom Kanton festgesetzten und ausbezahlten Löhne der Primarlehrkräfte ebenfalls gelten. Etwas anderes ergibt sich auch nicht aus dem von den Beschwerdeführerinnen zitierten Urteil 2A.558/2001 vom 27. Juni 2002, das eine andere Konstellation betraf.</w:t>
      </w:r>
    </w:p>
    <w:p>
      <w:r>
        <w:rPr>
          <w:b/>
        </w:rPr>
        <w:t>E. 4</w:t>
      </w:r>
    </w:p>
    <w:p>
      <w:r>
        <w:t>Die Beschwerde erweist sich somit als unbegründet. Das Verfahren ist kostenlos ( Art. 13 Abs. 5 GlG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