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2A.78/2000 vom 23. Mai 2000</w:t>
      </w:r>
    </w:p>
    <w:p>
      <w:r>
        <w:t>Bundesgericht, 2000-05-23, FR</w:t>
      </w:r>
    </w:p>
    <w:p>
      <w:r>
        <w:rPr>
          <w:b/>
        </w:rPr>
        <w:t xml:space="preserve">Quelle: </w:t>
      </w:r>
      <w:r>
        <w:t>https://mcp.opencaselaw.ch/entscheid/bger_2A.78_2000</w:t>
      </w:r>
    </w:p>
    <w:p>
      <w:r>
        <w:t>FR: TF 2A.78/2000 du 23 mai 2000</w:t>
      </w:r>
    </w:p>
    <w:p>
      <w:r>
        <w:t>IT: TF 2A.78/2000 del 23 maggio 2000</w:t>
      </w:r>
    </w:p>
    <w:p>
      <w:pPr>
        <w:pStyle w:val="Heading2"/>
      </w:pPr>
      <w:r>
        <w:t>Erwägungen</w:t>
      </w:r>
    </w:p>
    <w:p>
      <w:r>
        <w:rPr>
          <w:b/>
        </w:rPr>
        <w:t>E. 1</w:t>
      </w:r>
    </w:p>
    <w:p>
      <w:r>
        <w:t>Le Tribunal fédéral examine d'office et librement la recevabilité des recours qui lui sont soumis ( ATF 125 II 293 consid. 1a p. 299 et les arrêts cités).</w:t>
      </w:r>
    </w:p>
    <w:p>
      <w:r>
        <w:t>Déposé en temps utile contre une décision prise par une autorité fédérale au sens de l' art. 98 lettre b OJ et fondée sur le droit public fédéral (notion qui comprend les normes de droit public international), le présent recours est en principe recevable en vertu des dispositions générales des art. 97ss OJ (en relation avec l' art. 5 PA ), dès lors qu'il ne tombe pas sous le coup de l'une des exceptions énumérées aux art. 99 à 101 OJ. Par ailleurs, le recourant a un intérêt digne de protection, au sens de l' art. 103 lettre a OJ , pour se plaindre que la décision attaquée lui refuse le statut d'apatride par substitution de motifs (abus de droit).</w:t>
      </w:r>
    </w:p>
    <w:p>
      <w:r>
        <w:rPr>
          <w:b/>
        </w:rPr>
        <w:t>E. 2</w:t>
      </w:r>
    </w:p>
    <w:p>
      <w:r>
        <w:t>a) Selon l'art. 1er de la Convention relative au statut des apatrides, conclue à New-York le 28 septembre 1954 (RS 0.142. 40) et entrée en vigueur, pour la Suisse, le 1er octobre 1972 (RO 1972 II 237), le terme "apatride" désigne une personne qu'aucun Etat ne considère comme son ressortissant par application de sa législation. La question de savoir si ce terme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w:t>
      </w:r>
    </w:p>
    <w:p>
      <w:r>
        <w:t>b) Les autorités administrative suisses ne reconnaissent pas, en principe, le statut d'apatride au sens de l'art. 1er de la Convention du 28 septembre 1954 aux personnes qui se laissent sciemment déchoir de leur nationalité.</w:t>
      </w:r>
    </w:p>
    <w:p>
      <w:r>
        <w:t>Tel est le cas notamment des personnes qui abandonnent leur nationalité durant une procédure d'asile vouée à l'échec afin de bénéficier du statut privilégié d'apatride. L'Organisation des Nations Unies s'efforce en effet depuis longtemps de réduire au minimum les cas d'apatride. La Convention relative au statut des apatrides sert au premier chef à aider les personnes défavorisées par le sort qui, sans elle, seraient dans la détresse. Elle n'a pas pour but de permettre à toute personne qui le désire de bénéficier du statut d'apatride qui est, à certains égards, plus favorable que celui des autres étrangers (en matière d'assistance notamment). Reconnaître ainsi la qualité d'apatride à tout individu qui se laisserait déchoir de sa nationalité pour des raisons de convenances personnelles contreviendrait au but poursuivi par la communauté internationale. Cela reviendrait, en outre, à favoriser un comportement abusif (cf. Samuel Werenfels, Der Begriff des Flüchtlings im schweizerischen Asylrecht, Diss. Bâle 1987, p. 130/131).</w:t>
      </w:r>
    </w:p>
    <w:p>
      <w:r>
        <w:t>c) A la lumière de ces principes, force est de constater que le recourant a refusé, ou en tout cas s'est abstenu, de procéder aux démarches que l'on était en droit d'attendre de lui pour permettre d'établir sa nationalité. En effet, il n'a fourni que des renseignements très vagues sur les circonstances de sa naissance et n'a pas davantage donné d'indications un tant soit peu précises sur son enfance et son entourage familial. Les circonstances de temps et de lieu des différentes étapes de son existence sont évoquées en termes si généraux qu'elles excluent toute recherche sérieuse pour tenter de retrouver son identité et sa nationalité. Si le recourant avait voulu collaborer avec l'Office cantonal de la population, il aurait certainement été en mesure de renseigner les autorités de façon utile sur les démarches à entreprendre.</w:t>
      </w:r>
    </w:p>
    <w:p>
      <w:r>
        <w:t>En outre, le recourant s'est volontairement abstenu de procéder lui-même à des recherches permettant de retrouver la trace de ses origines. En fait, il ressort du dossier que le recourant vise avant tout à pouvoir éviter l'expulsion de Suisse (voir les conditions très strictes prévues à l'art. 31 de la Convention) et, au travers du statut d'apatride, de bénéficier, au niveau de l'emploi, de la sécurité sociale et de l'assistance publique, de conditions d'existence plus favorables que celles réservées aux étrangers admis provisoirement. Cette attitude constituant un abus de droit, il ne saurait donc être considéré comme apatride au sens de l'art. 1er de la Convention relative au statut des apatrides.</w:t>
      </w:r>
    </w:p>
    <w:p>
      <w:r>
        <w:t>Comme l'a rappelé l'autorité intimée, l'interdiction de l'abus de droit est en effet un principe général reconnu également en droit international (voir notamment Nguyen Quoc Dinh/Patrick Dailler/Alain Pellet, Droit international public, 4ème édition, 1993, No 232, p. 340).</w:t>
      </w:r>
    </w:p>
    <w:p>
      <w:r>
        <w:rPr>
          <w:b/>
        </w:rPr>
        <w:t>E. 3</w:t>
      </w:r>
    </w:p>
    <w:p>
      <w:r>
        <w:t>Le recourant reproche encore à l'autorité intimée d'avoir statué directement sur le fond, sans ordonner les mesures d'instruction qui auraient dû être prises par l'Office fédéral des réfugiés, notamment son audition.</w:t>
      </w:r>
    </w:p>
    <w:p>
      <w:r>
        <w:t>A cet égard, il faut tout d'abord relever que, dans sa lettre du 30 novembre 1999, l'autorité intimée a clairement signalé au recourant qu'elle envisageait d'examiner l'affaire sous l'angle de l'abus de droit et lui a donné l'occasion de s'exprimer sur ce point. Ensuite, la maxime inquisitoire régissant la procédure administrative est relativisée par son corollaire, soit le devoir de collaboration des parties à l'établissement des faits (Ulrich Häfelin/Georg Müller, Grundriss des Allgemeinen Verwaltungsrechts, Zurich 1993, No 1285 p. 304; ATF 120 V 357 consid. 1a p. 360; 110 V 42 consid. 4a p. 53). Ce devoir concerne en premier lieu l'administré qui adresse une demande à l'autorité dans son propre intérêt (cf. art. 13 PA ). Il s'impose d'autant plus lorsqu'il s'agit de faits que l'administré est mieux à même de connaître, particulièrement de ceux qui ont trait à sa situation personnelle, laquelle s'écarte de l'ordinaire (Pierre Moor, Droit administratif, Berne 1991, volume II n. 2.2.6.3 p. 175/176; Friz Gygi, Bundesverwaltungsrechtspflege, Berne 1983, 2ème édition, p. 208/209). Or, pendant son séjour de plus de onze ans dans le canton de Genève, le recourant n'a pas collaboré avec les autorités. Les quelques éléments d'ordre général qu'il a bien voulu communiquer figurent dans sa requête du 27 février 1997. Dans ces conditions, l'audition du recourant n'avait guère de sens. Son grief de violation du droit d'être entendu se révèle ainsi en tous points manifestement mal fondé.</w:t>
      </w:r>
    </w:p>
    <w:p>
      <w:r>
        <w:rPr>
          <w:b/>
        </w:rPr>
        <w:t>E. 4</w:t>
      </w:r>
    </w:p>
    <w:p>
      <w:r>
        <w:t>Au vu de ce qui précède, le recours doit être rejeté, selon la procédure simplifiée de l' art. 36a OJ . Dès lors que les conclusions du recours était dépourvues de toutes chances de succès, la demande d'assistance judiciaire présentée par le recourant doit être rejetée ( art. 152 al. 1 OJ ). Succombant, le recourant doit supporter les frais judiciaires, qui seront fixés en fonction de sa situation financière précaire (art. 153, 153a 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