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2A.748/2006 vom 18. Januar 2007</w:t>
      </w:r>
    </w:p>
    <w:p>
      <w:r>
        <w:t>Bundesgericht, 2007-01-18, DE</w:t>
      </w:r>
    </w:p>
    <w:p>
      <w:r>
        <w:rPr>
          <w:b/>
        </w:rPr>
        <w:t xml:space="preserve">Quelle: </w:t>
      </w:r>
      <w:r>
        <w:t>https://mcp.opencaselaw.ch/entscheid/bger_2A.748_2006</w:t>
      </w:r>
    </w:p>
    <w:p>
      <w:r>
        <w:t>FR: TF 2A.748/2006 du 18 janvier 2007</w:t>
      </w:r>
    </w:p>
    <w:p>
      <w:r>
        <w:t>IT: TF 2A.748/2006 del 18 gennaio 2007</w:t>
      </w:r>
    </w:p>
    <w:p>
      <w:pPr>
        <w:pStyle w:val="Heading2"/>
      </w:pPr>
      <w:r>
        <w:t>Regeste</w:t>
      </w:r>
    </w:p>
    <w:p>
      <w:r>
        <w:t>Haftentlassung | Bürgerrecht und Ausländerrecht</w:t>
      </w:r>
    </w:p>
    <w:p>
      <w:pPr>
        <w:pStyle w:val="Heading2"/>
      </w:pPr>
      <w:r>
        <w:t>Erwägungen</w:t>
      </w:r>
    </w:p>
    <w:p>
      <w:r>
        <w:rPr>
          <w:b/>
        </w:rPr>
        <w:t>E. 1</w:t>
      </w:r>
    </w:p>
    <w:p>
      <w:r>
        <w:t>Am 1. Januar 2007 ist das Bundesgesetz vom 17. Juni 2005 über das Bundesgericht (Bundesgerichtsgesetz, BGG; SR 173.110) in Kraft getreten (AS 2006 1205 ff., S. 1242). Da die vorliegende Beschwerde vor dem 1. Januar 2007 eingereicht worden ist und ein zuvor ergangenes Urteil zum Gegenstand hat, finden die Vorschriften des Bundesrechtspflegegesetzes (OG) Anwendung ( Art. 132 Abs. 1 BGG ).</w:t>
      </w:r>
    </w:p>
    <w:p>
      <w:r>
        <w:rPr>
          <w:b/>
        </w:rPr>
        <w:t>E. 2.1</w:t>
      </w:r>
    </w:p>
    <w:p>
      <w:r>
        <w:t>Nach Art. 103 lit. b OG in Verbindung mit Art. 14 Abs. 2 der Organisationsverordnung vom 17. November 1999 für das Eidgenössische Justiz- und Polizeidepartement (OV-EJPD; SR 172.213.1) ist das Bundesamt für Migration in den Bereichen des Ausländer- und Bürgerrechts ermächtigt, Verwaltungsgerichtsbeschwerde gegen letztinstanzliche kantonale Entscheide zu führen. Die Legitimation des Bundesamtes zur Verwaltungsgerichtsbeschwerde hat zum Zweck, die richtige und einheitliche Anwendung des Bundesrechts zu sichern. Es hat daher nicht darzulegen, dass es ein spezifisches schutzwürdiges (öffentliches) Interesse im Sinne von Art. 103 lit. a OG an der Aufhebung des angefochtenen Entscheids hat. Erforderlich ist nur, dass es ihm nicht um die Behandlung abstrakter Fragen des objektiven Rechts, sondern um konkrete Rechtsfragen eines tatsächlich bestehenden Einzelfalles geht (vgl. BGE 129 II 1 E. 1.1 S. 4; 128 II 193 E. 1 S. 195 f., je mit Hinweisen). Auch die Beschwerdelegitimation nach Art. 103 lit. b OG setzt dabei in der Regel das Bestehen eines aktuellen Interesses voraus.</w:t>
      </w:r>
    </w:p>
    <w:p>
      <w:r>
        <w:rPr>
          <w:b/>
        </w:rPr>
        <w:t>E. 2.2</w:t>
      </w:r>
    </w:p>
    <w:p>
      <w:r>
        <w:t>Im Zusammenhang mit den Zwangsmassnahmen im Ausländerrecht wird das Bundesamt sich vorab dann zur Ergreifung der Verwaltungsgerichtsbeschwerde veranlasst sehen, wenn der Haftrichter die von der Fremdenpolizei angeordnete Ausschaffungshaft nicht bestätigt hat, was zur sofortigen Freilassung des Ausländers führt. Oft wird dessen Aufenthaltsort zum Zeitpunkt, da das Verfahren vor Bundesgericht eingeleitet wird, nicht bekannt sein, und das Bundesamt wird selten mit Wirkung für den konkreten Einzelfall Beschwerde führen können. Damit es die mit der Einräumung des Beschwerderechts verbundene Aufgabe, die einheitliche Anwendung des Bundesrechts zu ermöglichen, wahrnehmen kann, muss nötigenfalls vom Erfordernis des aktuellen Interesses abgesehen werden können (vgl. BGE 128 II 193 E. 1 S. 196 oben). Immer aber muss - im Hinblick auf weitere Fälle - ein hinreichendes Interesse an der Beurteilung der mit der Beschwerde aufgeworfenen Frage bestehen (Urteile 2A.338/2004 vom 1. Dezember 2004 E. 1.2 und 2A.148/2003 vom 30. Mai 2003 E. 1.1), so wenn es sich dabei um eine neue Rechtsfrage handelt oder einer konkret drohenden und anders nicht zu verhindernden bundesrechtswidrigen Rechtsentwicklung Einhalt zu gebieten ist (vgl. Urteil 2A.338/2004 E. 1.2.6).</w:t>
      </w:r>
    </w:p>
    <w:p>
      <w:r>
        <w:rPr>
          <w:b/>
        </w:rPr>
        <w:t>E. 2.3</w:t>
      </w:r>
    </w:p>
    <w:p>
      <w:r>
        <w:t>Vorliegend ist der Beschwerdegegner aus der Haft entlassen und zudem in seine Heimat zurückgeführt worden. In Bezug auf den konkreten Streitfall muss und kann insofern die richtige und einheitliche Durchsetzung des Bundesrechts nicht mehr sichergestellt werden, und es besteht offenkundig kein aktuelles Interesse an der Behandlung der Verwaltungsgerichtsbeschwerde. Es ist zu prüfen, ob sonstwie ein hinreichendes Interesse im Sinne der vorstehenden Ausführungen gegeben ist.</w:t>
      </w:r>
    </w:p>
    <w:p>
      <w:r>
        <w:rPr>
          <w:b/>
        </w:rPr>
        <w:t>E. 3</w:t>
      </w:r>
    </w:p>
    <w:p>
      <w:r>
        <w:t>Der Haftrichter hat die Verlängerung der Ausschaffungshaft nicht bewilligt und dies vorab mit der Unverhältnismässigkeit der Wegweisung begründet; er stellte fest, dass der vorzeitige Vollzug der Wegweisung allein des Beschwerdeführers angesichts der familiären Verhältnisse unzumutbar sei (E. 3 des angefochtenen Urteils). Das Bundesamt macht geltend, dass der Haftrichter mit dieser Begründung seine Kompetenzen überschritten hat. In der Tat hat dieser die Rechtmässigkeit der Wegweisung bzw. des Wegweisungsvollzugs materiell überprüft. Die entsprechenden Anordnungen sind für ihn indessen verbindlich, wenn sie im Asylverfahren ergangen sind, und auch andere Wegweisungsentscheide kann er nicht überprüfen, es sei denn, sie seien augenfällig unzulässig bzw. derart krass falsch, dass sie sich als nichtig erweisen (vgl. BGE 128 II 193 E. 2.2 S. 197 ff.). Zu Unrecht beruft er sich in diesem Zusammenhang auf das Urteil 2A.304/2005 vom 26. Mai 2005 E. 2.2, wo es nicht um die Rechtmässigkeit des Wegweisungs(vollzugs)entscheids ging. Zum massgeblichen Haftprüfungsprogramm sowie zur grundsätzlichen Verbindlichkeit von Wegweisungsentscheiden und zur insofern beschränkten Tragweite von Art. 13c Abs. 5 lit. a ANAG liegt eine klare publizierte Rechtsprechung vor (nebst BGE 128 II 193 auch BGE 121 II 59 E. 2 S. 61 ff.), die in zahlreichen nicht publizierten Urteilen bestätigt worden ist. Die Rechtslage ist eindeutig, und es besteht bei Fehlen eines aktuellen Interesses keine Notwendigkeit, die Beschwerde zur Klärung der Rechtsfrage im Hinblick auf zukünftige Fälle materiell zu behandeln. Nicht beanstandet hat das Bundesamt die Erwägungen des angefochtenen Urteils insofern, als der Haftrichter sich zum Haftgrund der Untertauchensgefahr geäussert und diesen relativiert hat (E. 2). Diesbezüglich will es keine Rechtsfrage beantwortet haben oder sonstwie eine Klärung für zukünftige Fälle herbeiführen; dies wäre auch kaum möglich, stehen doch in dieser Hinsicht stark einzelfallgeprägte und sachverhaltsspezifische Aspekte im Mittelpunkt (vgl. Urteil 2A.338/ 2004 E. 1.2.6). Nach dem Gesagten ist kein hinreichendes Interesse an der Behandlung der Beschwerde ersichtlich; es ist darauf, im Sinne der Erwägungen, nicht einzutreten.</w:t>
      </w:r>
    </w:p>
    <w:p>
      <w:r>
        <w:rPr>
          <w:b/>
        </w:rPr>
        <w:t>E. 4</w:t>
      </w:r>
    </w:p>
    <w:p>
      <w:r>
        <w:t>Gemäss Art. 156 Abs. 2 OG sind dem Bundesamt keine Gerichtskosten aufzuerlegen. Da keine Vernehmlassung zu erstatten war, sind dem Beschwerdegegner durch den Rechtsstreit keine Kosten entstanden, die ihm das Bundesamt zu ersetzen hätte (s.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