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2A.744/2004 vom 30. Juni 2005</w:t>
      </w:r>
    </w:p>
    <w:p>
      <w:r>
        <w:t>Bundesgericht, 2005-06-30, DE</w:t>
      </w:r>
    </w:p>
    <w:p>
      <w:r>
        <w:rPr>
          <w:b/>
        </w:rPr>
        <w:t xml:space="preserve">Quelle: </w:t>
      </w:r>
      <w:r>
        <w:t>https://mcp.opencaselaw.ch/entscheid/bger_2A.744_2004</w:t>
      </w:r>
    </w:p>
    <w:p>
      <w:r>
        <w:t>FR: TF 2A.744/2004 du 30 juin 2005</w:t>
      </w:r>
    </w:p>
    <w:p>
      <w:r>
        <w:t>IT: TF 2A.744/2004 del 30 giugno 2005</w:t>
      </w:r>
    </w:p>
    <w:p>
      <w:pPr>
        <w:pStyle w:val="Heading2"/>
      </w:pPr>
      <w:r>
        <w:t>Erwägungen</w:t>
      </w:r>
    </w:p>
    <w:p>
      <w:r>
        <w:rPr>
          <w:b/>
        </w:rPr>
        <w:t>E. 1.1</w:t>
      </w:r>
    </w:p>
    <w:p>
      <w:r>
        <w:t>Gegen die auf der eidgenössischen Lebensmittelgesetzgebung beruhende Verfügung des Kantonalen Labors Aargau steht letztinstanzlich die Verwaltungsgerichtsbeschwerde an das Bundesgericht offen (Art. 54 des Bundesgesetzes vom 9. Oktober 1992 über Lebensmittel und Gebrauchsgegenstände [Lebensmittelgesetz, LMG; SR 817.0]; Art. 97 OG in Verbindung mit Art. 5 VwVG sowie Art. 98 lit. g und Art. 98a OG ). Auf die frist- und formgerecht eingereichte Verwaltungsgerichtsbeschwerde der nach Art. 103 lit. a OG legitimierten Beschwerdeführerin ist demnach einzutreten.</w:t>
      </w:r>
    </w:p>
    <w:p>
      <w:r>
        <w:rPr>
          <w:b/>
        </w:rPr>
        <w:t>E. 1.2</w:t>
      </w:r>
    </w:p>
    <w:p>
      <w:r>
        <w:t>Soweit die Beschwerdeführerin zur Begründung ergänzend auf ihre Eingaben im kantonalen Verfahren verweist, ist auf die betreffenden Vorbringen nicht einzutreten, da die Begründung aus der Beschwerdeschrift selber ersichtlich sein muss (Urteil 2A.374/2003 vom 13. Mai 2004 E. 1.1 mit Hinweisen).</w:t>
      </w:r>
    </w:p>
    <w:p>
      <w:r>
        <w:rPr>
          <w:b/>
        </w:rPr>
        <w:t>E. 2.1</w:t>
      </w:r>
    </w:p>
    <w:p>
      <w:r>
        <w:t>Die kantonalen Instanzen beanstandeten beim "JANA Cosmetics Body, Straffungsgel für Problemzonen" die Verwendung folgender Formulierungen (kursiv = beanstandet; angefochtenes Urteil E. II.1):</w:t>
      </w:r>
    </w:p>
    <w:p>
      <w:r>
        <w:t>a) Auf Tube und Verpackung: JANA Straffungsgel für Problemzonen mit dem einzigartigen, auf Wirksamkeit geprüften Aktivkomplex Perfeline. Dieser regt in Verbindung mit Massage die Mikrozirkulation an, unterstützt den Fettabbau sowie die Entwässerung und Straffung des Bindegewebes;</w:t>
      </w:r>
    </w:p>
    <w:p>
      <w:r>
        <w:t>b) auf dem Beipackzettel: ... Perfeline. In Verbindung mit Massage ist dieser Aktivkomplex bekannt für die unterstützende Wirkung beim Fettabbau sowie die Entwässerung und Straffung des Bindegewebes.</w:t>
      </w:r>
    </w:p>
    <w:p>
      <w:r>
        <w:rPr>
          <w:b/>
        </w:rPr>
        <w:t>E. 2.2</w:t>
      </w:r>
    </w:p>
    <w:p>
      <w:r>
        <w:t>Die Vorinstanz hat in den angepriesenen Wirkungen (Anregung der Mikrozirkulation, Unterstützung des Fettabbaus, Entwässerung und Straffung des Bindegewebes) Vorgänge erblickt, die sich unter der gesunden Haut und deren Organen abspielen, womit suggeriert werde, der Wirkstoff "Aktivkomplex Perfeline" entfalte eine nach Art. 21 Abs. 2 GebrV unzulässige innere Wirkung, wenn es auf die betroffenen Hautpartien aufgetragen und einmassiert werde. Die ebenfalls empfohlenen Massage, ausgewogene Ernährung und körperliche Aktivität seien dabei bloss unterstützende Tätigkeiten, die die Effektivität des Straffungsgels steigern sollen.</w:t>
      </w:r>
    </w:p>
    <w:p>
      <w:r>
        <w:t>Diese Auffassung steht im Einklang mit der bundesgerichtlichen Rechtsprechung (Urteil 2A.47/2000 vom 23. Juni 2000 betreffend "Gewebestraff-Balsam; Cellulite-Systembehandlung") und verletzt kein Bundesrecht. Es kann daher auf die zutreffende Begründung der Vorinstanz verwiesen werden, die ausdrücklich auf das erwähnte Urteil des Bundesgerichts Bezug nimmt.</w:t>
      </w:r>
    </w:p>
    <w:p>
      <w:r>
        <w:rPr>
          <w:b/>
        </w:rPr>
        <w:t>E. 3</w:t>
      </w:r>
    </w:p>
    <w:p>
      <w:r>
        <w:t>Der Hinweis der Beschwerdeführerin auf die Verwendung ähnlicher Formulierungen bei vergleichbaren Konkurrenzprodukten führt zu keiner anderen Beurteilung. Dass andere Kosmetika mit ähnlicher Verpackungsbeschriftung bis anhin noch nicht beanstandet worden sein sollen, ist wohl in erster Linie darauf zurückzuführen, dass die Lebensmittelkontrolle im Inland Sache der Kantone ist ( Art. 40 LMG ). Gemäss interkantonaler Vereinbarung der Kantonschemiker (vgl. Vernehmlassung des Gesundheitsdepartements des Kantons Aargau) gilt bei Produkten, die nur in Bezug auf Prospekte und Etiketten nicht gesetzeskonform sind, dass die kantonalen Laboratorien im Sitzkanton der verantwortlichen Firma (meist die Hersteller) die allfälligen Massnahmen verfügen; in den übrigen Fällen informieren sie das Kantonslabor des jeweiligen Sitzkantons über festgestellte Mängel. Zudem gilt im Bereich Lebensmittel und Gebrauchsgegenstände das Prinzip der Selbstkontrolle ( Art. 23 LMG ), nach welchem derjenige, der die Ware in Verkehr bringt (insb. einführt, herstellt, abgibt etc.) zugleich dafür zu sorgen hat, dass sie den gesetzlichen Anforderungen entspricht. Es ist daher nicht zu vermeiden, dass auch nicht gesetzeskonforme Gebrauchsgegenstände auf dem Markt sind. Im vorliegenden Fall fehlen aber ohnehin jegliche Anhaltspunkte dafür, dass die Behörden bei ähnlichen bundesrechtswidrigen Anpreisungen nicht ebenfalls eingreifen würden (vgl. auch angefochtenes Urteil E. 2b/f.); nur in diesem Fall könnte allenfalls ausnahmsweise eine "Gleichbehandlung im Unrecht" bzw. rechtsgleiche Behandlung verlangt werden (vgl. BGE 127 I 1 E. 3a mit Hinweis).</w:t>
      </w:r>
    </w:p>
    <w:p>
      <w:r>
        <w:rPr>
          <w:b/>
        </w:rPr>
        <w:t>E. 4</w:t>
      </w:r>
    </w:p>
    <w:p>
      <w:r>
        <w:t>Die Beschwerde ist aus diesen Gründen abzuweisen, soweit darauf eingetreten werden kann.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