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2A.737/2005 vom 19. Januar 2007</w:t>
      </w:r>
    </w:p>
    <w:p>
      <w:r>
        <w:t>Bundesgericht, 2007-01-19, FR</w:t>
      </w:r>
    </w:p>
    <w:p>
      <w:r>
        <w:rPr>
          <w:b/>
        </w:rPr>
        <w:t xml:space="preserve">Quelle: </w:t>
      </w:r>
      <w:r>
        <w:t>https://mcp.opencaselaw.ch/entscheid/bger_2A.737_2005</w:t>
      </w:r>
    </w:p>
    <w:p>
      <w:r>
        <w:t>FR: TF 2A.737/2005 du 19 janvier 2007</w:t>
      </w:r>
    </w:p>
    <w:p>
      <w:r>
        <w:t>IT: TF 2A.737/2005 del 19 gennaio 2007</w:t>
      </w:r>
    </w:p>
    <w:p>
      <w:pPr>
        <w:pStyle w:val="Heading2"/>
      </w:pPr>
      <w:r>
        <w:t>Regeste</w:t>
      </w:r>
    </w:p>
    <w:p>
      <w:r>
        <w:t>Autorisation d0entrée et de séjour; regroupement familial | Droit de cité et droit des étrangers</w:t>
      </w:r>
    </w:p>
    <w:p>
      <w:pPr>
        <w:pStyle w:val="Heading2"/>
      </w:pPr>
      <w:r>
        <w:t>Erwägungen</w:t>
      </w:r>
    </w:p>
    <w:p>
      <w:r>
        <w:rPr>
          <w:b/>
        </w:rPr>
        <w:t>E. 1</w:t>
      </w:r>
    </w:p>
    <w:p>
      <w:r>
        <w:t>L'entrée en vigueur, le 1er janvier 2007, de la loi sur le Tribunal fédéral du 17 juin 2005 (LTF; RO 2006 1205 - RS 173.110), a entraîné l'abrogation de la loi fédérale d'organisation judiciaire du 16 décembre 1943 (OJ) (cf. art. 131 al. 1 LTF ). Comme l'arrêt attaqué a été rendu avant le 31 décembre 2006, cette dernière loi reste néanmoins encore applicable au présent litige à titre de réglementation transitoire (cf. art. 132 al. 1 LTF a contrario).</w:t>
      </w:r>
    </w:p>
    <w:p>
      <w:r>
        <w:rPr>
          <w:b/>
        </w:rPr>
        <w:t>E. 2</w:t>
      </w:r>
    </w:p>
    <w:p>
      <w:r>
        <w:t>Aux termes de l'art. 100 al. 1 lettre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(cf. ATF 131 II 339 consid. 1 p. 342; 130 II 388 consid. 1.1 p. 389, 281 consid. 2.1 p. 284 et les arrêts cités). Célibataires et âgés de moins de dix-huit ans, les enfants du recourant ont normalement le droit d'être inclus dans l'autorisation d'établissement de leur père en vertu de l' art. 17 al. 2 3 ème phrase LSEE. Par ailleurs, dans la mesure où ils entretiennent avec celui-ci des relations apparemment réelles et effectives (sur ce point, cf. infra consid. 3.2), ils peuvent également, sur le principe, déduire de l' art. 8 CEDH le droit à une autorisation de séjour (cf. ATF 129 II 193 consid. 5.3.1 p. 211, 215 consid. 4.1 p. 218). En revanche, la Convention relative aux droits de l'enfant ne leur confère aucun droit en la matière (cf. ATF 126 II 377 consid. 4 et 5 pp. 388-392; 124 II 361 consid. 3b p. 367). Le recours est dès lors recevable du chef des art. 17 al. 2 LSEE et 8 CEDH, sans préjudice du sort du litige et de la question - qui relève du fond - de savoir si les conditions prévues par les dispositions précitées sont remplies (cf. ATF 119 Ib 81 consid. 2a p. 84; 118 Ib 153 consid. 2a p. 158).</w:t>
      </w:r>
    </w:p>
    <w:p>
      <w:r>
        <w:rPr>
          <w:b/>
        </w:rPr>
        <w:t>E. 3.1</w:t>
      </w:r>
    </w:p>
    <w:p>
      <w:r>
        <w:t>Selon la jurisprudence (cf. ATF 129 II 11 consid. 3.1.1 p. 14; 126 II 329 consid. 2a p. 330 et les arrêts cités), le but de l' 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seul parent établi en Suisse les enfants est soumis à des conditions plus restrictives que lorsque les parents font ménage commun: alors que, dans ce dernier cas, le droit peut, en principe, être exercé en tout temps sans restriction autre que celle tirée de l'abus de droit (cf. ATF 129 II 11 consid. 3.1.2 p. 14; 126 II 329 consid. 3b p. 332/333), il n'existe, en revanche, pas un droit inconditionnel de faire venir auprès du parent établi en Suisse des enfants qui ont grandi à l'étranger dans le giron de leur autre parent ou de proches. La reconnaissance d'un tel droit suppose alors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126 II 329 consid. 3b p. 332; 124 II 361 consid. 3a p. 366). Ces restrictions sont pareillement valables lorsqu'il s'agit d'examiner sous l'angle de l' art. 8 CEDH la question du droit au regroupement familial (partiel) d'enfants de parents séparés ou divorcés (cf. ATF 129 II 249 consid. 2.4 p. 256; 126 II 329 consid. 3b p. 332; 125 II 633 consid. 3a p. 639/640; 124 II 361 consid. 3a p. 366; 118 Ib 153 consid. 2c p. 160 et les arrêts cités). Dans un arrêt du 19 décembre 2006 destiné à la publication (cause 2A.316/2006), le Tribunal fédéral a maintenu et explicité sa jurisprudence. Il a indiqué qu'un droit au regroupement familial partiel ne doit,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le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l'un de l'autre,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du 19 décembre 2006, consid. 3 et 5).</w:t>
      </w:r>
    </w:p>
    <w:p>
      <w:r>
        <w:rPr>
          <w:b/>
        </w:rPr>
        <w:t>E. 3.2</w:t>
      </w:r>
    </w:p>
    <w:p>
      <w:r>
        <w:t>En l'espèce, les enfants du recourant, A.________ et B.________, ont toujours vécu en Turquie, où ils ont été élevés par leur mère et leurs grands-parents paternels, celle-là ayant apparemment vécu sous le même toit que ceux-ci pendant son mariage. Après le divorce de leurs parents et l'attribution du droit de garde à leur père, les enfants ont été pris en charge, selon le recourant, par leurs grands-parents. Lors du dépôt de la demande de regroupement familial litigieuse, ils étaient âgés respectivement de 14 ans et 4 mois pour le garçon et 11 ans et 10 mois pour la fille. Jusqu'à ce jour, leur père n'a pour ainsi dire pas vécu avec eux, excepté une période d'environ deux ans entre 1994 et 1996, puis quelques mois après son renvoi de Suisse prononcé en juillet 1999. On ne saurait dès lors parler de relation familiale prépondérante entre le recourant et ses enfants. Ceux-ci ont assurément noué des liens plus forts avec leur grand-mère paternelle et leur mère. Du reste, quand bien même cette dernière se désintéresserait de ses enfants, d'après les affirmations non étayées du recourant, il apparaît qu'elle doit au moins s'occuper d'eux, selon le jugement de divorce, tous les samedis ainsi que le deuxième jour des fêtes religieuses. Certes, le recourant soutient, comme en procédure cantonale, qu'il rend visite deux fois par année à ses enfants en Turquie, qu'il leur téléphone régulièrement et qu'il leur verse tous les mois des contributions d'entretien. De tels contacts sont toutefois usuels dans des circonstances de ce genre, mais restent relativement limités et ne sont en tout cas pas de nature à établir que l'intéressé, qui n'a jusqu'ici que peu partagé son existence avec ses enfants, aurait néanmoins assumé à distance la responsabilité principale de leur éducation, au point de reléguer à l'arrière-plan le rôle joué en la matière par leur grand-mère et leur mère. C'est en vain que le recourant prétend que, depuis qu'il est en Suisse, il n'a eu de cesse de donner les consignes "les plus claires possibles à ses parents" concernant l'éducation de ses enfants et qu'il ne manque pas, durant ses contacts avec ceux-ci, "de les conseiller et d'organiser leur éducation sur place". Allégués pour la première fois en procédure fédérale, ces faits ont valeur de nova et ne sont pas recevables (cf. art. 105 al. 2 OJ ; ATF 130 II 493 consid. 2 p. 497; 128 II 145 consid. 1.2.1 p. 150 et les arrêts cités); quoi qu'il en soit, ils semblent invoqués pour les besoins de la cause et ne sont guère circonstanciés et étayés. Il faut dès lors admettre que, pour réels et effectifs qu'ils soient, les seuls contacts que le recourant a cultivés avec ses enfants n'ont rien d'exceptionnels et ne suffisent pas, compte tenu du peu de temps qu'il a jusqu'à ce jour passé avec eux, à fonder un droit au regroupement familial (cf. arrêt précité du 19 décembre 2006, consid. 3.1.1 et 6.2.1). Pour le reste, le recourant ne conteste pas que, comme l'ont retenu les premiers juges de manière à lier le Tribunal fédéral (cf. art. 105 al. 2 OJ ; ATF 132 II 21 consid. 2 p. 24), l'entretien et l'éducation de ses enfants soient assurés en Turquie. Ceux-ci peuvent en effet compter sur le soutien de leur grand-mère voire, dans une certaine mesure, de leur mère, et ils sont arrivés à un âge où ils ne requièrent plus les mêmes soins et la même attention que de jeunes enfants. Dans ces conditions, une modification de la prise en charge éducative des enfants n'apparaît pas indiquée: adolescents ou proches de l'adolescence, ceux-ci comptent l'essentiel de leurs relations familiales et toutes leurs attaches sociales et culturelles en Turquie, tandis que les liens avec leur père apparaissent plutôt ténus. Leur déplacement dans un nouveau cadre de vie et dans un pays dont ils ne parlent absolument pas la langue serait dès lors assurément vécu comme un profond déracinement et n'irait pas sans poser des problèmes d'intégration, sans compter que cela aurait pour conséquence de les éloigner de leur grand-mère et de leur mère qui se sont depuis toujours - du moins la première - occupées d'eux en Turquie.</w:t>
      </w:r>
    </w:p>
    <w:p>
      <w:r>
        <w:rPr>
          <w:b/>
        </w:rPr>
        <w:t>E. 3.3</w:t>
      </w:r>
    </w:p>
    <w:p>
      <w:r>
        <w:t>Au vu des circonstances, le Tribunal administratif a pesé les intérêts en présence d'une manière conforme au droit fédéral et à l' art. 8 CEDH .</w:t>
      </w:r>
    </w:p>
    <w:p>
      <w:r>
        <w:rPr>
          <w:b/>
        </w:rPr>
        <w:t>E. 4</w:t>
      </w:r>
    </w:p>
    <w:p>
      <w:r>
        <w:t>Il suit de ce qui précède que le recours est mal fondé. Succombant, le recourant doit supporter les frais de justice ( art.156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