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2A.736/2004 vom 24. Juni 2005</w:t>
      </w:r>
    </w:p>
    <w:p>
      <w:r>
        <w:t>Bundesgericht, 2005-06-24, DE</w:t>
      </w:r>
    </w:p>
    <w:p>
      <w:r>
        <w:rPr>
          <w:b/>
        </w:rPr>
        <w:t xml:space="preserve">Quelle: </w:t>
      </w:r>
      <w:r>
        <w:t>https://mcp.opencaselaw.ch/entscheid/bger_2A.736_2004</w:t>
      </w:r>
    </w:p>
    <w:p>
      <w:r>
        <w:t>FR: TF 2A.736/2004 du 24 juin 2005</w:t>
      </w:r>
    </w:p>
    <w:p>
      <w:r>
        <w:t>IT: TF 2A.736/2004 del 24 giugno 2005</w:t>
      </w:r>
    </w:p>
    <w:p>
      <w:pPr>
        <w:pStyle w:val="Heading2"/>
      </w:pPr>
      <w:r>
        <w:t>Regeste</w:t>
      </w:r>
    </w:p>
    <w:p>
      <w:r>
        <w:t>Nachsteuer (Direkte Bundessteuer 1999) | Öffentliche Finanzen &amp; Abgaberecht</w:t>
      </w:r>
    </w:p>
    <w:p>
      <w:pPr>
        <w:pStyle w:val="Heading2"/>
      </w:pPr>
      <w:r>
        <w:t>Erwägungen</w:t>
      </w:r>
    </w:p>
    <w:p>
      <w:r>
        <w:rPr>
          <w:b/>
        </w:rPr>
        <w:t>E. 1.1</w:t>
      </w:r>
    </w:p>
    <w:p>
      <w:r>
        <w:t>Der angefochtene Entscheid der Steuerrekurskommission II des Kantons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denselben Rechtsweg wie für die direkten kantonalen Steuern vorzusehen (vgl. BGE 130 II 65 ff.), kommt im vorliegenden Fall noch nicht zur Anwendung, denn die Frist von acht Jahren, die den Kantonen zur Anpassung ihrer Gesetzgebung offen stand (vgl. Art. 72 des Bundesgesetzes vom 14. Dezember 1990 über die Harmonisierung der direkten Steuern der Kantone und Gemeinden (StHG; SR 642.14), war in der hier in Frage stehenden Steuerperiode 1999 noch nicht abgelaufen.</w:t>
      </w:r>
    </w:p>
    <w:p>
      <w:r>
        <w:rPr>
          <w:b/>
        </w:rPr>
        <w:t>E. 1.2</w:t>
      </w:r>
    </w:p>
    <w:p>
      <w:r>
        <w:t>Als betroffene steuerpflichtige Person ist der Beschwerdeführer aufgrund von Art. 103 lit. a OG zur Anfechtung des vorinstanzlichen Entscheids legitimiert. Auf seine form- und fristgerecht eingereichte Beschwerde ist grundsätzlich einzutreten. Indessen kann im vorliegenden Verfahren ausschliesslich der Entscheid der Steuerrekurskommission Anfechtungsobjekt sein (sog. Devolutiveffekt; vgl. etwa BGE 125 II 29 E. 1c S. 33, mit Hinweisen). Soweit auch die Aufhebung des Einspracheentscheids beantragt wird, ist die Beschwerde unzulässig.</w:t>
      </w:r>
    </w:p>
    <w:p>
      <w:r>
        <w:rPr>
          <w:b/>
        </w:rPr>
        <w:t>E. 1.3</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rPr>
          <w:b/>
        </w:rPr>
        <w:t>E. 1.4</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 BGE 129 II 183 E. 3.4 S. 188; 128 II 145 E. 1.2.2 S. 150 f., je mit Hinweisen).</w:t>
      </w:r>
    </w:p>
    <w:p>
      <w:r>
        <w:rPr>
          <w:b/>
        </w:rPr>
        <w:t>E. 2.1</w:t>
      </w:r>
    </w:p>
    <w:p>
      <w:r>
        <w:t>Der Einkommenssteuer unterliegen alle wiederkehrenden und einmaligen Einkünfte ( Art. 16 Abs. 1 DBG ), hingegen sind die Kapitalgewinne aus der Veräusserung von Privatvermögen steuerfrei ( Art. 16 Abs. 3 DBG ).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 Art. 17 Abs. 1 DBG ). Überlässt ein Unternehmen einem Mitarbeiter Aktien zu einem unter dem Verkehrswert liegenden Preis, so stellt eine solche Leistung Erwerbseinkommen dar (ASA 65, 733 E. 2 S. 737 f.). Das gilt auch für Mitarbeiteroptionen, die als Naturaleinkünfte zu den andern geldwerten Vorteilen zu zählen sind (ASA 73, 545 E. 2.1 S. 547 f.; vgl. auch Peter Locher, Kommentar zum DBG, Therwil/Basel 2001, Rz. 63 ff. zu Art. 16 DBG ).</w:t>
      </w:r>
    </w:p>
    <w:p>
      <w:r>
        <w:rPr>
          <w:b/>
        </w:rPr>
        <w:t>E. 2.2</w:t>
      </w:r>
    </w:p>
    <w:p>
      <w:r>
        <w:t>Wann das Einkommen aus der Überlassung von Mitarbeiteroptionen als realisiert zu gelten hat, wurde im Lauf der Jahre verschieden beurteilt. Im Kreisschreiben vom 17. Mai 1990 (ASA 59 S. 172 ff.) unterschied die Eidgenössische Steuerverwaltung noch zwischen verkäuflichen und unverkäuflichen Optionen und nahm den Einkommenszufluss im erstgenannten Fall bei der Zuteilung, im zweiten Fall dagegen erst bei der Ausübung der Optionen an. Im Kreisschreiben Nr. 5 vom 30. April 1997 (ASA 66 S. 130 ff.) wird nunmehr zwischen frei übertragbaren und gesperrten Optionen unterschieden, wobei die Besteuerung in beiden Fällen grundsätzlich im Zeitpunkt der Zuteilung erfolgt. Demgegenüber findet die steuerliche Erfassung erst später statt, wenn die Laufzeit der Option mehr als zehn Jahre oder die Verfügungssperre mehr als fünf Jahre dauert. Dies soll auch dann gelten, wenn die Optionsausübung von zahlreichen individuellen Bedingungen abhängt oder wenn die für die Bewertung unerlässlichen Parameter fehlen; diesfalls handelt es sich nach Auffassung der Eidgenössischen Steuerverwaltung um objektiv nicht bewertbare Rechte, die als blosse Anwartschaften gelten, wo erst die Ausübung der Option die Einkommenssteuer auslöst. Massgebend ist dabei die Differenz zwischen dem Verkehrswert der Aktie im Ausübungszeitpunkt und dem Ausübungspreis (vgl. ASA 73, 545 E. 2.4 S. 549).</w:t>
      </w:r>
    </w:p>
    <w:p>
      <w:r>
        <w:rPr>
          <w:b/>
        </w:rPr>
        <w:t>E. 3</w:t>
      </w:r>
    </w:p>
    <w:p>
      <w:r>
        <w:t>Der Beschwerdeführer erhielt gestützt auf das "Stock Option Agreement" anfangs 1996 unentgeltlich 6'580 Optionen zugeteilt, die ihn berechtigten, ab 1. Januar 1997 alljährlich einen Fünftel davon zum Erwerb von Aktien der Z.________ zum Preis von $ 1.75 je Titel einzusetzen. Die Optionen waren bis spätestens Ende 2001 auszuüben. Diese Zuteilung der Optionen löste im Jahre 1996 richtigerweise noch keine Besteuerung aus. Der Beschwerdeführer machte von seinem Recht erstmals am 29. Dezember 1999 Gebrauch, indem er die bis zu diesem Zeitpunkt aufgelaufenen drei Tranchen von 60 % der Optionen ausübte. Obwohl die restlichen zwei Tranchen à je 20 % der Optionen an sich erst in den Jahren 2000 und 2001 einsetzbar waren, bezog der Beschwerdeführer sein gesamtes restliches Kontingent an Aktien effektiv bereits am 10. Januar 2000. Der sich daraus ergebende geldwerte Vorteil wurde bei ihm richtigerweise in der Steuerperiode 2000 einkommenssteuerrechtlich erfasst. Hingegen ist der erst nachträglich betragsmässig konkretisierte geldwerte Vorteil aus der Ausübung von 60 % der Optionen am 29. Dezember 1999 in der rechtskräftigen Veranlagung für die Steuerperiode 1999 bislang nicht enthalten. Umstritten ist, ob dieses Einkommen nachträglich noch besteuert werden darf.</w:t>
      </w:r>
    </w:p>
    <w:p>
      <w:r>
        <w:rPr>
          <w:b/>
        </w:rPr>
        <w:t>E. 4.1</w:t>
      </w:r>
    </w:p>
    <w:p>
      <w:r>
        <w:t>Ergibt sich aufgrund von Tatsachen oder Beweismitteln, die der Steuerbehörde nicht bekannt waren, dass eine Veranlagung zu Unrecht unterblieben oder eine rechtskräftige Veranlagung unvollständig ist, so wird die nicht erhobene Steuer samt Zins als Nachsteuer eingefordert ( Art. 151 Abs. 1 DBG ). Für die Frage, ob neue Tatsachen oder Beweismittel schon im Zeitpunkt der Veranlagung vorlagen, ist der Aktenstand in diesem Zeitpunkt massgeblich (ASA 73, 482 E. 3.3 S. 487). Ein Verschulden des Steuerpflichtigen ist nicht erforderlich; vielmehr kommt es auf die Würdigung der jeweiligen Pflichten der Steuerbehörde und des Steuerpflichtigen bei der Veranlagung an.</w:t>
      </w:r>
    </w:p>
    <w:p>
      <w:r>
        <w:rPr>
          <w:b/>
        </w:rPr>
        <w:t>E. 4.2</w:t>
      </w:r>
    </w:p>
    <w:p>
      <w:r>
        <w:t>Nach Artikel 123 Absatz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(ASA 73, 482 E. 3.3.1 S. 487 f.). 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(ASA 73, 482 E. 3.3.2 und 3.3.3 S. 488).</w:t>
      </w:r>
    </w:p>
    <w:p>
      <w:r>
        <w:rPr>
          <w:b/>
        </w:rPr>
        <w:t>E. 4.3</w:t>
      </w:r>
    </w:p>
    <w:p>
      <w:r>
        <w:t>Im Lohnausweis des Beschwerdeführers für das Jahr 1999 war unter Ziff. 5 (Besondere Leistungen) das Feld "Einräumung von Beteiligungs- oder Forderungsrechten" gekennzeichnet, und der Beschwerdeführer führte im Wertschriftenverzeichnis 1999B 13'160 Aktien Z.________ mit einem Wert von Fr. 20'792.- an. Beide Angaben trafen objektiv nicht zu: Die Abgabe der Optionen erfolgte nämlich nicht im Jahr 1999, sondern bereits anfangs 1996; am 29. Dezember 1999 machte der Beschwerdeführer bloss von seinem Recht Gebrauch, die bis zu diesem Zeitpunkt aufgelaufenen drei Tranchen von 60 % der Optionen auszuüben und die entsprechende Anzahl Aktien zu erwerben. Die angegebene Zahl der Aktien Z.________ stimmte deshalb nicht, weil dem Beschwerdeführer zu diesem Zeitpunkt erst drei Fünftel des gesamten, ihm zustehenden Aktienanteils gehörten. Der auf dem Lohnausweis wie in der Vorperiode angebrachte Vermerk betreffend "Einräumung von Beteiligungs- oder Forderungsrechten" reichte nicht aus, nähere Abklärungen zu veranlassen, nachdem solche schon früher durchgeführt worden waren. Hingegen wäre die Deklaration von Aktien der Z.________ an sich geeignet gewesen, den Steuerkommissär zu sensibilisieren und abklären zu lassen, wie diese Beteiligungsrechte ins Eigentum des Beschwerdeführers gekommen waren. Allerdings hatte der Beschwerdeführer dieselben 13'160 Beteiligungsrechte bereits in der Steuererklärung 1999A (Stand Ende 1998) mit einem Steuerwert von Fr. 15'430.- angegeben, weshalb der Steuerkommissär davon ausgehen durfte, dass diese Aktien schon früher ins Eigentum des Beschwerdeführers gelangt waren. Im Übrigen war dem Beschwerdeführer aufgrund der amtlichen Abklärungen in der Vorperiode klar, dass die Optionen bei deren Ausübung steuerlich relevant sein mussten. Er wusste genau, dass er am 29. Dezember 1999 60 % der Optionen zum Erwerb von Aktien der Z.________ eingesetzt hatte. Es wäre somit seine Pflicht gewesen, die vom Arbeitgeber anfangs 2001 erhaltene Bescheinigung über das Ausmass der geldwerten Leistung der Steuerbehörde zukommen zu lassen; dies wäre sogar noch vor der Vornahme der definitiven Veranlagung für die direkte Bundessteuer 1999 am 21. Juni 2001 möglich gewesen. Bei der gegebenen Sachlage kann nicht gesagt werden, der Steuerbehörde seien die fraglichen Tatsachen und Beweismittel schon zur Zeit der Veranlagung bekannt gewesen. Vielmehr hat der Beschwerdeführer die unterbliebene Besteuerung des im Jahr 1999 erzielten Einkommens aus Optionen wegen seiner ungenügenden Mitwirkung selber zu vertreten. Die Nachsteuerveranlagung 1999, die in quantitativer Hinsicht im Übrigen nicht bestritten wird, erweist sich damit als rechtmässig.</w:t>
      </w:r>
    </w:p>
    <w:p>
      <w:r>
        <w:rPr>
          <w:b/>
        </w:rPr>
        <w:t>E. 5</w:t>
      </w:r>
    </w:p>
    <w:p>
      <w:r>
        <w:t>Die Verwaltungsgerichtsbeschwerde ist nach dem Gesagten unbegründet und folglich abzuweisen. Entsprechend dem Verfahrensausgang sind die Kosten des bundesgerichtlichen Verfahrens dem Beschwerdeführer aufzuerlegen ( Art. 156 Abs. 1 OG in Verbindung mit Art. 153 und 153a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