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2A.732/2006 vom 23. April 2007</w:t>
      </w:r>
    </w:p>
    <w:p>
      <w:r>
        <w:t>Bundesgericht, 2007-04-23, FR</w:t>
      </w:r>
    </w:p>
    <w:p>
      <w:r>
        <w:rPr>
          <w:b/>
        </w:rPr>
        <w:t xml:space="preserve">Quelle: </w:t>
      </w:r>
      <w:r>
        <w:t>https://mcp.opencaselaw.ch/entscheid/bger_2A.732_2006</w:t>
      </w:r>
    </w:p>
    <w:p>
      <w:r>
        <w:t>FR: TF 2A.732/2006 du 23 avril 2007</w:t>
      </w:r>
    </w:p>
    <w:p>
      <w:r>
        <w:t>IT: TF 2A.732/2006 del 23 aprile 2007</w:t>
      </w:r>
    </w:p>
    <w:p>
      <w:pPr>
        <w:pStyle w:val="Heading2"/>
      </w:pPr>
      <w:r>
        <w:t>Erwägungen</w:t>
      </w:r>
    </w:p>
    <w:p>
      <w:r>
        <w:rPr>
          <w:b/>
        </w:rPr>
        <w:t>E. 1</w:t>
      </w:r>
    </w:p>
    <w:p>
      <w:r>
        <w:t>Le recours est devenu sans objet et l'affaire est rayée du rôle.</w:t>
      </w:r>
    </w:p>
    <w:p>
      <w:r>
        <w:rPr>
          <w:b/>
        </w:rPr>
        <w:t>E. 2</w:t>
      </w:r>
    </w:p>
    <w:p>
      <w:r>
        <w:t>Il n'est pas perçu d'émolument judiciaire ni alloué de dépens.</w:t>
      </w:r>
    </w:p>
    <w:p>
      <w:r>
        <w:rPr>
          <w:b/>
        </w:rPr>
        <w:t>E. 3</w:t>
      </w:r>
    </w:p>
    <w:p>
      <w:r>
        <w:t>La présente décision est communiquée en copie au mandataire des recourants (avec en copie les déterminations sur mémoire complétif du Tribunal administratif fédéral et de la Commission fédérale des maisons de jeu), à la Commission fédérale des maisons de jeu et au Tribunal administratif fédéral.</w:t>
      </w:r>
    </w:p>
    <w:p>
      <w:r>
        <w:t>Lausanne, le 23 avril 2007</w:t>
      </w:r>
    </w:p>
    <w:p>
      <w:r>
        <w:t>Au nom de la IIe Cour de droit public</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