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2A.707/2005 vom 6. Juni 2006</w:t>
      </w:r>
    </w:p>
    <w:p>
      <w:r>
        <w:t>Bundesgericht, 2006-06-06, DE</w:t>
      </w:r>
    </w:p>
    <w:p>
      <w:r>
        <w:rPr>
          <w:b/>
        </w:rPr>
        <w:t xml:space="preserve">Quelle: </w:t>
      </w:r>
      <w:r>
        <w:t>https://mcp.opencaselaw.ch/entscheid/bger_2A.707_2005</w:t>
      </w:r>
    </w:p>
    <w:p>
      <w:r>
        <w:t>FR: TF 2A.707/2005 du 6 juin 2006</w:t>
      </w:r>
    </w:p>
    <w:p>
      <w:r>
        <w:t>IT: TF 2A.707/2005 del 6 giugno 2006</w:t>
      </w:r>
    </w:p>
    <w:p>
      <w:pPr>
        <w:pStyle w:val="Heading2"/>
      </w:pPr>
      <w:r>
        <w:t>Erwägungen</w:t>
      </w:r>
    </w:p>
    <w:p>
      <w:r>
        <w:rPr>
          <w:b/>
        </w:rPr>
        <w:t>E. 1.1</w:t>
      </w:r>
    </w:p>
    <w:p>
      <w:r>
        <w:t>Die Aufsichtsbehörden im Bereich der Berufsvorsorge wachen darüber, dass die Vorsorgeeinrichtungen die gesetzlichen Vorschriften einhalten (Art. 62 i.V.m. Art. 61 des Bundesgesetzes vom 25. Juni 1982 über die berufliche Alters-, Hinterlassenen- und Invalidenvorsorge, Berufsvorsorgegesetz, BVG; SR 831.40). Ihre Verfügungen können an die Eidgenössische Beschwerdekommission weitergezogen werden ( Art. 74 Abs. 2 lit. a BVG ), deren Entscheide ihrerseits der Verwaltungsgerichtsbeschwerde an das Bundesgericht unterliegen ( Art. 74 Abs. 4 BVG ; vgl. BGE 128 II 24 E. 1a S. 26). Zu den anfechtbaren Entscheiden zählen insbesondere solche über die Durchführung von Teilliquidationen bzw. über die Genehmigung von Plänen, welche im Rahmen einer Teil- oder Gesamtliquidation die Verteilung des Stiftungsvermögens auf die verschiedenen Destinatärsgruppen regeln (vgl. die nicht veröffentlichte Erwägung 1.1 von BGE 131 II 514 = Urteil des Bundesgerichts 2A.397/2003 vom 9. Juni 2005).</w:t>
      </w:r>
    </w:p>
    <w:p>
      <w:r>
        <w:rPr>
          <w:b/>
        </w:rPr>
        <w:t>E. 1.2</w:t>
      </w:r>
    </w:p>
    <w:p>
      <w:r>
        <w:t>Die Beschwerdeführerin ist als betroffene Arbeitgeberin durch den angefochtenen Entscheid berührt und damit gemäss Art. 103 lit. a OG zur Beschwerde berechtigt.</w:t>
      </w:r>
    </w:p>
    <w:p>
      <w:r>
        <w:rPr>
          <w:b/>
        </w:rPr>
        <w:t>E. 1.3</w:t>
      </w:r>
    </w:p>
    <w:p>
      <w:r>
        <w:t>Als unzulässig erweist sich jedoch der Antrag der Beschwerdeführerin, auch die Verfügung des Bundesamtes für Sozialversicherung vom 3. Februar 1999 abzuändern. Diese ist durch den Entscheid der Beschwerdekommission ersetzt worden (Devolutiveffekt) und gilt als mitangefochten; ihre selbständige Beanstandung ist ausgeschlossen ( BGE 129 II 438 E. 1 S. 441 mit Hinweisen). Über die von der Beschwerdeführerin damit aufgeworfenen Rechtsfragen ist immerhin bei der Prüfung der Rechtmässigkeit des vorinstanzlichen Urteils mitzubefinden.</w:t>
      </w:r>
    </w:p>
    <w:p>
      <w:r>
        <w:rPr>
          <w:b/>
        </w:rPr>
        <w:t>E. 1.4</w:t>
      </w:r>
    </w:p>
    <w:p>
      <w:r>
        <w:t>Mit Verwaltungsgerichtsbeschwerde kann die Verletzung von Bundesrecht, einschliesslich Überschreitung oder Missbrauch des Ermessens, sowie die unrichtige oder unvollständige Feststellung des rechtserheblichen Sachverhalts ( Art. 104 lit. a und lit. b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Das Bundesgericht wendet im Verfahren der Verwaltungsgerichtsbeschwerde das Bundesrecht von Amtes wegen an. Es ist an die Begründung des angefochtenen Entscheids und der Begehren nicht gebunden (vgl. Art. 114 Abs. 1 OG in fine sowie BGE 128 II 145 E. 1.2.2 S. 150 f.).</w:t>
      </w:r>
    </w:p>
    <w:p>
      <w:r>
        <w:rPr>
          <w:b/>
        </w:rPr>
        <w:t>E. 2.1</w:t>
      </w:r>
    </w:p>
    <w:p>
      <w:r>
        <w:t>Nach Art. 331 Abs. 3 OR ist der Arbeitgeber, wenn der Arbeitnehmer Beiträge an eine Vorsorgeeinrichtung zu leisten hat, verpflichtet, zur gleichen Zeit mindestens gleich hohe Beiträge wie die gesamten Beiträge aller Arbeitnehmer zu entrichten. Dem privaten Arbeitgeber steht es dabei frei, seine Beiträge nicht nur aus eigenen Mitteln, sondern auch aus von ihm vorgängig geäufneten und gesondert ausgewiesenen Beitragsreserven der Vorsorgeeinrichtung zu erbringen. Damit besteht für ihn die Möglichkeit, mit Rücksicht auf Schwankungen des Geschäftsgangs Beiträge auf Vorrat zu leisten, die zu gegebener Zeit zur Erfüllung der reglementarischen Verpflichtungen eingesetzt werden können (vgl. BGE 128 II 24 E. 3c S. 29 f. sowie das Urteil des Bundesgerichts 2A.605/2004 vom 26. April 2005, E. 2.2). Mit dem Inkrafttreten des Bundesgesetzes vom 17. Dezember 1993 über die Freizügigkeit in der beruflichen Alters-, Hinterlassenen- und Invalidenvorsorge (Freizügigkeitsgesetz, FZG; SR 831.42) am 1. Januar 1995 entstand auf Seiten der Vorsorgewerke und namentlich der Arbeitgeber das Bedürfnis, Arbeitgeberbeitragsreserven von den so genannten freien Mitteln zu scheiden und sie davor zu bewahren, im Rahmen einer möglichen Teilliquidation verteilt zu werden (vgl. Carl Helbling, Personalvorsorge und BVG, 8. Aufl., Bern/Stuttgart/Wien 2006, S. 195).</w:t>
      </w:r>
    </w:p>
    <w:p>
      <w:r>
        <w:rPr>
          <w:b/>
        </w:rPr>
        <w:t>E. 2.2</w:t>
      </w:r>
    </w:p>
    <w:p>
      <w:r>
        <w:t>Im vorliegenden Fall geht es um eine solche Arbeitgeberbeitragsreserve. Dazu hat die Vorinstanz rechtskräftig entschieden, die konkret fragliche Reserve im Betrag von Fr. 100'000.-- gehöre nicht zum Vermögen der bisherigen Vorsorgestiftung bzw. sei nicht an deren Destinatäre auszuschütten, sondern sei an die Nachfolgestiftung als neue Vorsorgeeinrichtung der Beschwerdeführerin zu übertragen. Dies bildet nicht mehr Streitgegenstand vor dem Bundesgericht. Strittig ist vorliegend nur noch, ob der Betrag von Fr. 100'000.-- zusätzlich noch zu verzinsen ist bzw. ob der Nachfolgestiftung zusätzlich noch der entsprechende Zinsertrag übertragen werden muss. Die Beschwerdeführerin verlangt, dass die Arbeitgeberbeitragsreserve für die Zeit ab dem 1. Januar 1994 (dem Zeitpunkt der Übertragung der Arbeitgeberbeitragsreserve an die Interkantonale Gemeinschaftsstiftung für Personalvorsorge) zu mindestens drei Prozent pro Jahr verzinst wird, wobei der Zins mindestens in der Höhe des für die jeweilige Periode geltenden BVG-Mindestzinssatzes geschuldet sein soll. Zusätzlich macht die Beschwerdeführerin in der Begründung ihrer Begehren einen Verzugszins geltend.</w:t>
      </w:r>
    </w:p>
    <w:p>
      <w:r>
        <w:rPr>
          <w:b/>
        </w:rPr>
        <w:t>E. 3.1</w:t>
      </w:r>
    </w:p>
    <w:p>
      <w:r>
        <w:t>Die Beschwerdeführerin ist zunächst der Ansicht, die Zinspflicht sei zwischen den Parteien unbestritten gewesen. Die Vorinstanz habe dies übersehen und damit den rechtserheblichen Sachverhalt offensichtlich unrichtig bzw. unvollständig festgestellt. Dabei habe die Beschwerdekommission einzelne Beweismittel überhaupt nicht berücksichtigt. Die Sachverhaltsfeststellung der Vorinstanz sei im Übrigen auch willkürlich im Sinne von Art. 9 BV .</w:t>
      </w:r>
    </w:p>
    <w:p>
      <w:r>
        <w:rPr>
          <w:b/>
        </w:rPr>
        <w:t>E. 3.2</w:t>
      </w:r>
    </w:p>
    <w:p>
      <w:r>
        <w:t>Die Beschwerdekommission hat sich einlässlich mit der strittigen Zinspflicht auseinander gesetzt und dazu erwogen, es sei keine rechtliche Grundlage für eine solche Zinspflicht ersichtlich. Damit hat sie implizit ebenfalls festgehalten, dass zwischen den Parteien keine Zinspflicht vereinbart war, da andernfalls eine solche als Grundlage einer entsprechenden Pflicht erkannt worden wäre. Diese Feststellung erscheint nicht unhaltbar und widerspricht nicht der Aktenlage, und zwar unabhängig davon, ob die Beschwerdeführerin die entsprechenden Vorbringen im vorinstanzlichen Verfahren im Sinne von Art. 32 VwVG rechtzeitig eingebracht hatte oder nicht, was unter den Parteien umstritten ist. Aus keinem der von der Beschwerdeführerin angerufenen Dokumente ergibt sich, dass die Beschwerdegegnerin eine Zinspflicht im behaupteten Sinne anerkannt hatte. Unmassgeblich sind dabei zunächst all jene Dokumente, in denen die Beschwerdeführerin selbst die Überweisung von Zinsen verlangt hatte. Daraus ergibt sich von vornherein keine Anerkennung solcher Zinsen durch die Beschwerdegegnerin, ist doch nicht ersichtlich, dass diese nach Treu und Glauben verpflichtet gewesen wäre, eine Zinspflicht ausdrücklich wegzubedingen, zumal im damaligen Zeitpunkt eine solche offenbar unüblich war (vgl. E. 4.1). Im vorliegenden Zusammenhang unerheblich sind aber auch vereinzelte Zugeständnisse der Beschwerdegegnerin, beziehen sich diese doch, soweit sie nicht ohnehin sonst wie (etwa in zeitlicher Hinsicht) beschränkt sind, einzig auf freie Mittel oder Kapitalien, nicht aber auch (ausdrücklich oder sinngemäss) auf die fragliche Arbeitgeberbeitragsreserve. Unter diesen Umständen erweist sich die entsprechende Sachverhaltsfeststellung der Vorinstanz nicht als unhaltbar bzw. leidet sie nicht an einem massgeblichen qualifizierten Mangel nach Art. 105 Abs. 2 OG .</w:t>
      </w:r>
    </w:p>
    <w:p>
      <w:r>
        <w:rPr>
          <w:b/>
        </w:rPr>
        <w:t>E. 4.1</w:t>
      </w:r>
    </w:p>
    <w:p>
      <w:r>
        <w:t>Nach Art. 15 BVG ist der BVG-Mindestzinssatz nur auf den (obligatorischen) Altersguthaben gemäss dem Berufsvorsorgegesetz geschuldet. Nicht einmal die überobligatorischen Altersguthaben brauchen zwingend zum Mindestsatz verzinst zu werden. Rechtlich besteht somit keine Pflicht, die Arbeitgeberbeitragsreserven zum Mindestsatz zu verzinsen. Eine freiwillige Verzinsung ist zwar zulässig und mag heute allenfalls sogar üblich sein (Helbling, a.a.O., S. 195); bis zum Inkrafttreten des Freizügigkeitsgesetzes, d.h. bis Ende 1994, also im hier noch massgeblichen Zeitraum, wurden Arbeitgeberbeitragsreserven aber offenbar regelmässig nicht verzinst (wie sich noch aus Carl Helbling, Personalvorsorge und BVG, 7. Aufl., Bern/Stuttgart/Wien 2000, S. 189, ergibt). Eine anders lautende Vereinbarung gab es im vorliegenden Fall, wie dargelegt (vgl. E. 3), nicht. Im Übrigen dürfte eine allfällige Verzinsung ohnehin nicht zu einem höheren Zinssatz erfolgen, als er der durchschnittlich erzielten effektiven Rendite entspräche (vgl. Helbling, a.a.O., 8. Aufl., S. 195). Dies ist jedoch nicht mehr wesentlich, fehlt es doch vorliegend schon an einer verbindlichen - vertraglichen oder gesetzlichen - Rechtspflicht zur Verzinsung der Arbeitgeberbeitragsreserve.</w:t>
      </w:r>
    </w:p>
    <w:p>
      <w:r>
        <w:rPr>
          <w:b/>
        </w:rPr>
        <w:t>E. 4.2</w:t>
      </w:r>
    </w:p>
    <w:p>
      <w:r>
        <w:t>Was den geforderten Verzugszins betrifft, so liesse sich dieser höchstens durch eine analoge Anwendung von Art. 104 OR rechtfertigen. Ein entsprechender Verzugszins würde jedoch die Fälligkeit der Hauptforderung voraussetzen. Solange kein rechtskräftiger Entscheid über die Arbeitgeberbeitragsreserve vorlag, war die Forderung der Beschwerdeführerin indessen nicht fällig und die Interkantonale Gemeinschaftsstiftung für Personalvorsorge als Schuldnerin nicht im Verzug. Erst mit der Rechtskraft des angefochtenen Entscheids in diesem Punkt wurde die Forderung hinsichtlich der Arbeitgeberbeitragsreserve fällig. Diese Folgerung ist nicht nur rechtlich, sondern auch sachlich geboten. Hätte die Schuldnerin nämlich die Arbeitgeberbeitragsreserve bereits früher an die neue Vorsorgeeinrichtung der Beschwerdeführerin überwiesen, hätte sie den entsprechenden Betrag zurückfordern müssen, wenn das Verfahren einen anderen Ausgang genommen hätte und der Verteilungsplan unter Einbezug der Arbeitgeberbeitragsreserve genehmigt worden wäre. Es kann nicht sein, dass eine Vorsorgeeinrichtung Mittel übertragen muss, bevor rechtskräftig entschieden ist, wer Anspruch auf diese Mittel hat, nur um zu verhindern, allenfalls Verzugszinsen zahlen zu müssen. Die anders lautende Argumentation der Beschwerdeführerin geht daher fehl.</w:t>
      </w:r>
    </w:p>
    <w:p>
      <w:r>
        <w:rPr>
          <w:b/>
        </w:rPr>
        <w:t>E. 4.3</w:t>
      </w:r>
    </w:p>
    <w:p>
      <w:r>
        <w:t>Der angefochtene Entscheid verstösst somit nicht gegen Bundesrecht.</w:t>
      </w:r>
    </w:p>
    <w:p>
      <w:r>
        <w:rPr>
          <w:b/>
        </w:rPr>
        <w:t>E. 5</w:t>
      </w:r>
    </w:p>
    <w:p>
      <w:r>
        <w:t>Die Verwaltungsgerichtsbeschwerde erweist sich als unbegründet und ist abzuweisen, soweit darauf eingetreten werden kann.</w:t>
      </w:r>
    </w:p>
    <w:p>
      <w:r>
        <w:t>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