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2A.6/2004 vom 9. März 2004</w:t>
      </w:r>
    </w:p>
    <w:p>
      <w:r>
        <w:t>Bundesgericht, 2004-03-09, FR</w:t>
      </w:r>
    </w:p>
    <w:p>
      <w:r>
        <w:rPr>
          <w:b/>
        </w:rPr>
        <w:t xml:space="preserve">Quelle: </w:t>
      </w:r>
      <w:r>
        <w:t>https://mcp.opencaselaw.ch/entscheid/bger_2A.6_2004</w:t>
      </w:r>
    </w:p>
    <w:p>
      <w:r>
        <w:t>FR: TF 2A.6/2004 du 9 mars 2004</w:t>
      </w:r>
    </w:p>
    <w:p>
      <w:r>
        <w:t>IT: TF 2A.6/2004 del 9 marzo 2004</w:t>
      </w:r>
    </w:p>
    <w:p>
      <w:pPr>
        <w:pStyle w:val="Heading2"/>
      </w:pPr>
      <w:r>
        <w:t>Regeste</w:t>
      </w:r>
    </w:p>
    <w:p>
      <w:r>
        <w:t>Droit de cité et droit des étrangers</w:t>
      </w:r>
    </w:p>
    <w:p>
      <w:pPr>
        <w:pStyle w:val="Heading2"/>
      </w:pPr>
      <w:r>
        <w:t>Erwägungen</w:t>
      </w:r>
    </w:p>
    <w:p>
      <w:r>
        <w:rPr>
          <w:b/>
        </w:rPr>
        <w:t>E. 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mises à la reconnaissance d'un cas de rigueur doivent être appréciées de manière restrictive.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 s.; 124 II 110 consid. 2 p. 111 ss et les références citées).</w:t>
      </w:r>
    </w:p>
    <w:p>
      <w:r>
        <w:rPr>
          <w:b/>
        </w:rPr>
        <w:t>E. 2</w:t>
      </w:r>
    </w:p>
    <w:p>
      <w:r>
        <w:t>En l'occurrence, il n'est pas contesté que le recourant, âgé aujourd'hui de quarante ans, vit en Suisse depuis environ quatorze ans, qu'il n'a pas donné lieu à des plaintes et qu'il s'y est très bien intégré sur le plan socio-professionnel. Ces circonstances, en particulier la longue durée du séjour, ne sont cependant pas, à elles seules, suffisantes pour admettre que le recourant se trouve dans un cas personnel d'extrême gravité. Le recourant a été mis au bénéfice d'autorisations de séjour destinées à accueillir en Suisse des étudiants étrangers pour qu'ils y acquièrent une formation qu'ils mettront ensuite au service de leur pays; elles ne leur permettent pas de rester en Suisse pour y travailler une fois leurs études achevées. Or, le recourant savait que son séjour en Suisse serait limité dans le temps et qu'il devait rentrer dans son pays d'origine au terme de sa formation. Si le recourant a pu rester en Suisse même après la révocation de son autorisation de séjour en 1999, c'est uniquement parce qu'il n'a pas obtempéré à la décision de renvoi exécutoire et qu'il a multiplié les procédures de recours et de réexamen auprès de diverses autorités cantonales et fédérales. Le recourant ne se trouve pas dans une situation fondamentalement différente de celle de beaucoup d'autres étrangers appelés à rentrer dans leur pays d'origine après avoir effectué leurs études en Suisse. Il est vrai que le recourant a enseigné les mathématiques dans divers établissements scolaires à l'entière satisfaction de ses employeurs. Comme en témoignent les nombreuses lettres de soutien signées notamment par ses collègues, des professeurs de l'Université de Lausanne et des parents d'élèves, le recourant - qui est très apprécié - a fait preuve non seulement de très grandes qualités pédagogiques dans le cadre de son enseignement, mais s'est aussi occupé d'élèves en difficultés en participant notamment à la mise en place de structures adaptées au sein de l'école, ce qui est louable. Toutefois, cela ne suffit pas encore pour admettre un cas de rigueur au sens de l'art. 13 lettre f OLE. Si son intégration socio-professionnelle est très bonne, elle ne saurait cependant être qualifiée d'exceptionnelle. En résumé, le recourant, célibataire, ne peut pas se prévaloir de liens si étroits avec la Suisse que son départ constituerait un véritable déracinement. On doit donc admettre qu'après d'éventuelles difficultés d'adaptation, notamment sur le plan professionnel, le recourant pourra se réintégrer dans son pays d'origine où il a passé l'essentiel de son existence et où habite sa famille.</w:t>
      </w:r>
    </w:p>
    <w:p>
      <w:r>
        <w:rPr>
          <w:b/>
        </w:rPr>
        <w:t>E. 3</w:t>
      </w:r>
    </w:p>
    <w:p>
      <w:r>
        <w:t>Vu ce qui précède, le recours doit être rejeté. Avec ce prononcé, la requête de mesures provisionnelles devient sans objet. Succombant, le recourant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