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2A.69/2002 vom 9. August 2002</w:t>
      </w:r>
    </w:p>
    <w:p>
      <w:r>
        <w:t>Bundesgericht, 2002-08-09, DE</w:t>
      </w:r>
    </w:p>
    <w:p>
      <w:r>
        <w:rPr>
          <w:b/>
        </w:rPr>
        <w:t xml:space="preserve">Quelle: </w:t>
      </w:r>
      <w:r>
        <w:t>https://mcp.opencaselaw.ch/entscheid/bger_2A.69_2002</w:t>
      </w:r>
    </w:p>
    <w:p>
      <w:r>
        <w:t>FR: TF 2A.69/2002 du 9 août 2002</w:t>
      </w:r>
    </w:p>
    <w:p>
      <w:r>
        <w:t>IT: TF 2A.69/2002 del 9 agosto 2002</w:t>
      </w:r>
    </w:p>
    <w:p>
      <w:pPr>
        <w:pStyle w:val="Heading2"/>
      </w:pPr>
      <w:r>
        <w:t>Erwägungen</w:t>
      </w:r>
    </w:p>
    <w:p>
      <w:r>
        <w:rPr>
          <w:b/>
        </w:rPr>
        <w:t>E. 1.1</w:t>
      </w:r>
    </w:p>
    <w:p>
      <w:r>
        <w:t>Gegen Entscheide der Eidgenössischen Steuerrekurskommission ist gemäss Art. 97 ff. OG und Art. 54 MWSTV beim Schweizerischen Bundesgericht die Verwaltungsgerichtsbeschwerde zulässig. Die Beschwerdeführerin ist durch das angefochtene Urteil berührt und hat ein schutzwürdiges Interesse an dessen Aufhebung oder Abänderung. Sie ist damit nach Art. 103 lit. a OG zur Beschwerde legitimiert. Auf die form- und fristgerecht eingereichte Beschwerde ist einzutreten.</w:t>
      </w:r>
    </w:p>
    <w:p>
      <w:r>
        <w:rPr>
          <w:b/>
        </w:rPr>
        <w:t>E. 1.2</w:t>
      </w:r>
    </w:p>
    <w:p>
      <w:r>
        <w:t>Mit der Verwaltungsgerichtsbeschwerde kann nach Art. 104 lit. a OG die Verletzung von Bundesrecht, einschliesslich Überschreitung oder Missbrauch des Ermessens, gerügt werden. Das Bundesgericht wendet das Bundesrecht bei der Verwaltungsgerichtsbeschwerde von Amtes wegen an, ohne an die Begründung der Parteibegehren gebunden zu sein (vgl. Art. 114 Abs. 1 OG ). An die Sachverhaltsfeststellung ist das Bundesgericht gebunden, wenn - wie hier - eine richterliche Behörde als Vorinstanz entschieden und den Sachverhalt nicht offensichtlich unrichtig, unvollständig oder unter Verletzung wesentlicher Verfahrensbestimmungen festgestellt hat ( Art. 105 Abs. 2 OG ).</w:t>
      </w:r>
    </w:p>
    <w:p>
      <w:r>
        <w:rPr>
          <w:b/>
        </w:rPr>
        <w:t>E. 2</w:t>
      </w:r>
    </w:p>
    <w:p>
      <w:r>
        <w:t>Die Beschwerdeführerin beantragt, dass die von der Eidgenössischen Steuerverwaltung rückgängig gemachte Lagerentsteuerung gemäss Art. 85 MWSTV zugelassen werde.</w:t>
      </w:r>
    </w:p>
    <w:p>
      <w:r>
        <w:rPr>
          <w:b/>
        </w:rPr>
        <w:t>E. 2.1</w:t>
      </w:r>
    </w:p>
    <w:p>
      <w:r>
        <w:t>Art. 85 MWSTV sieht vor, dass die Warenumsatzsteuer, die bei Beginn der Mehrwertsteuerpflicht auf den Vorräten von Handelswaren und auf Werkstoffen lastet, von der Mehrwertsteuer abgezogen werden kann. Mit dieser Bestimmung wird erreicht, dass sowohl die Steuerpflichtigen, die erstmals umsatzsteuerpflichtig werden, wie auch die ehemaligen Grossisten im Sinne des Warenumsatzsteuerbeschlusses die Warenumsatzsteuer für Wiederverkaufswaren, nicht aber für Anlagen und Investitionsgüter, wie Vorsteuern nach Art. 30 MWSTV abziehen können, sofern die in Art. 85 Abs. 1, Buchstaben a bis c, genannten Voraussetzungen kumulativ erfüllt sind (Kommentar des Eidgenössischen Finanzdepartementes zur Verordnung über die Mehrwertsteuer vom 22. Juni 1994, ad Art. 85 Abs. 1 MWSTV , S. 67; s. auch das Urteil vom 15. Mai 1997, ASA 66, 649 E. 8a)</w:t>
      </w:r>
    </w:p>
    <w:p>
      <w:r>
        <w:t>Diese Vorschrift war erforderlich, weil ohne die im Gesetz vorgesehene Steuerentlastung (Lagerentsteuerung) eine steuerliche Doppelbelastung entstehen würde, da der Warenverkauf der Mehrwertsteuer unterliegt und die Waren schon warenumsatzsteuerbelastet sind. Grossisten haben die Warenvorräte in der Regel gegen Abgabe einer Grossistenerklärung (GE) steuerfrei bezogen, weshalb eine Steuerentlastung in diesem Fall ausser Betracht fällt (vgl. Kommentar des Eidgenössischen Finanzdepartements, a.a.O., S. 67; zit. Urteil, a.a.O.).</w:t>
      </w:r>
    </w:p>
    <w:p>
      <w:r>
        <w:t>Voraussetzung für die Steuerentlastung nach Art. 85 Abs. 1 lit. a - c ist, a) dass es sich um Wiederverkaufswaren oder um Werkstoffe für die gewerbsmässige Herstellung von Waren oder Bauwerken handelt, b) der Steuerpflichtige über diese Waren bei Beginn der Steuerpflicht die Verfügungsmacht hatte und c) er für diese Waren nicht als Grossist die Steueranrechnung nach Art. 23 WUStB beansprucht hat.</w:t>
      </w:r>
    </w:p>
    <w:p>
      <w:r>
        <w:rPr>
          <w:b/>
        </w:rPr>
        <w:t>E. 2.2</w:t>
      </w:r>
    </w:p>
    <w:p>
      <w:r>
        <w:t>Mit der vorliegenden Verwaltungsgerichtsbeschwerde macht die Beschwerdeführerin geltend, dass sie nicht Grossistin im Sinne von Art. 9 ff. WUStB gewesen sei, weil der rückwirkende Wiedereintrag per 1. Januar 1992 unzulässig und die Entlassung aus der Steuerpflicht rechtskräftig sei. Demzufolge habe die Ware nicht steuerfrei bezogen werden können, weshalb die gestützt darauf geltend gemachte Lagerentsteuerung gemäss Art. 85 MWSTV rechtmässig sei.</w:t>
      </w:r>
    </w:p>
    <w:p>
      <w:r>
        <w:t>Diese Argumente sind unzutreffend. Das Verfahren hinsichtlich der rückwirkenden Eintragung der Beschwerdeführerin in das Register der Warenumsatzsteuerpflichtigen per 1. Januar 1992 war ebenfalls Gegenstand einer Verwaltungsgerichtsbeschwerde. Mit Urteil 2A.75/2002 vom 9. August 2002 stellte das Bundesgericht fest, dass die Beschwerdeführerin ab 1. Januar 1992 warenumsatzsteuerpflichtig und von der Eidgenössischen Steuerverwaltung zu Recht in das Register für Warenumsatzsteuerpflichtige eingetragen worden sei. Die Voraussetzungen zur Geltendmachung der Lagerentsteuerung gemäss Art. 85 MWSTV sind daher nicht erfüllt. Die Eidgenössische Steuerverwaltung hat die von der Beschwerdeführerin den steuerpflichtigen Lieferanten entrichtete Warenumsatzsteuer in der Ergänzungsabrechnung berücksichtigt. Die Beschwerde erweist sich als unbegründet, was zu deren Abweisung führt.</w:t>
      </w:r>
    </w:p>
    <w:p>
      <w:r>
        <w:rPr>
          <w:b/>
        </w:rPr>
        <w:t>E. 3</w:t>
      </w:r>
    </w:p>
    <w:p>
      <w:r>
        <w:t>Die Beschwerdeführerin hatte im Verfahren vor der Eidgenössischen Steuerrekurskommission den prozessualen Antrag gestellt, das vorliegende Verfahren sei mit dem Verfahren betreffend Warenumsatzsteuer zu vereinigen. Begründet wurde der Antrag damit, dass die Frage des Wiedereintrags im Register der Warenumsatzsteuerpflichtigen Vorfrage im vorliegenden Verfahren sei. Die Vorinstanz sei im angefochtenen Entscheid mit keinem Wort auf diesen Antrag eingegangen, was eine formelle Rechtsverweigerung darstelle. Sie verzichte darauf, vor Bundesgericht die formelle Rechtsverweigerung zu rügen, doch sei die Unterlassung bei der Kostenfrage zu berücksichtigen.</w:t>
      </w:r>
    </w:p>
    <w:p>
      <w:r>
        <w:t>Eine formelle Rechtsverweigerung liegt dann vor, wenn eine Behörde es ausdrücklich ablehnt oder stillschweigend unterlässt, eine Entscheidung zu treffen, obwohl sie dazu verpflichtet gewesen wäre ( BGE 107 Ib 160 E. 3b S. 164). Die Vorinstanz nahm zum gestellten Prozessantrag auf Verfahrensvereinigung in ihrem Urteil nicht Stellung, sie befand aber insofern darüber, als sie die beiden Parallelfälle nebeneinander mit den Urteilen vom 7. Januar 2002 entschied und gleichzeitig eröffnete. Der Beschwerdeführerin sind daraus keine Nachteile entstanden. Ein Anspruch auf Verfahrensvereinigung besteht zudem nicht. Es handelt sind klarerweise um verschiedene Steuern, die in getrennten Verfahren behandelt werden durften, auch wenn es sich um die gleichen Parteien handelt und der Entscheid im einen Fall von demjenigen im anderen Fall abhängt.</w:t>
      </w:r>
    </w:p>
    <w:p>
      <w:r>
        <w:t>Dem Ausgang des Verfahrens entsprechend sind die gesamten Kosten der Beschwerdeführerin aufzuerlegen (Art. 156 Abs. 1 in Verbindung mit Art. 153 und 153a OG ). Eine Parteientschädigung ist nicht zuzusprechen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