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2A.682/2004 vom 8. Dezember 2004</w:t>
      </w:r>
    </w:p>
    <w:p>
      <w:r>
        <w:t>Bundesgericht, 2004-12-08, DE</w:t>
      </w:r>
    </w:p>
    <w:p>
      <w:r>
        <w:rPr>
          <w:b/>
        </w:rPr>
        <w:t xml:space="preserve">Quelle: </w:t>
      </w:r>
      <w:r>
        <w:t>https://mcp.opencaselaw.ch/entscheid/bger_2A.682_2004</w:t>
      </w:r>
    </w:p>
    <w:p>
      <w:r>
        <w:t>FR: TF 2A.682/2004 du 8 décembre 2004</w:t>
      </w:r>
    </w:p>
    <w:p>
      <w:r>
        <w:t>IT: TF 2A.682/2004 del 8 dicembre 2004</w:t>
      </w:r>
    </w:p>
    <w:p>
      <w:pPr>
        <w:pStyle w:val="Heading2"/>
      </w:pPr>
      <w:r>
        <w:t>Erwägungen</w:t>
      </w:r>
    </w:p>
    <w:p>
      <w:r>
        <w:rPr>
          <w:b/>
        </w:rPr>
        <w:t>E. 1</w:t>
      </w:r>
    </w:p>
    <w:p>
      <w:r>
        <w:t>Gemäss der bundesgerichtlichen Rechtsprechung hat der Haftrichter seinen Entscheid so zu begründen, dass der Betroffene ihn gegebenenfalls sachgerecht anfechten kann, wobei es nicht Sache des Bundesgerichts ist, in den Akten nach haftbegründenden Umständen zu suchen ( BGE 125 II 369 E. 2c und d S. 372 f.). Die vorliegende Begründung des Haftrichters enthält zwar eine Umschreibung des Gesetzesrechts, es fehlt jedoch eine konkrete Prüfung der Haftvoraussetzungen im vorliegenden Anwendungsfall. Die materielle Haftbegründung beschränkt sich im Wesentlichen auf die Feststellung, der Vertreter des Beschwerdeführers anerkenne, dass die Voraussetzungen für eine Ausschaffungshaft erfüllt seien. Diese Begründung erscheint ungenügend. Allerdings war der Beschwerdeführer bereits vor dem Haftrichter amtlich verbeiständet, und es ist angesichts des unbestrittenen Protokolls der haftrichterlichen Verhandlung nicht in Frage zu stellen, dass sein Vertreter die Rechtmässigkeit der Haft anerkannt hatte. Unter diesen Umständen musste der Haftrichter nicht mit einer Anfechtung seines Entscheids rechnen. Nachdem der Beschwerdeführer, vertreten durch einen neuen Rechtsanwalt, dennoch das Bundesgericht angerufen hatte, hat es der Haftrichter freilich unterlassen, in der Vernehmlassung an das Bundesgericht eine zureichende Begründung nachzuliefern. Der Beschwerdeführer rügt dies allerdings wohl zu Recht nicht, erscheint doch sein eigenes Verhalten ebenfalls nicht widerspruchsfrei. Die Erhebung der Verwaltungsgerichtsbeschwerde kann zwar nicht gerade als unzulässig gelten. Unter den gegebenen Umständen bleibt die ungenügende Begründung des Haftentscheids aber ausnahmsweise ohne Folgen und hat das Bundesgericht direkt auf die Akten abzustellen, zumal diese vollständig erscheinen und der Beschwerdeführer und die haftanordnende Behörde ihre Standpunkte umfassend vortragen konnten.</w:t>
      </w:r>
    </w:p>
    <w:p>
      <w:r>
        <w:rPr>
          <w:b/>
        </w:rPr>
        <w:t>E. 2.1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129 II 1 E. 3 S. 6 ff.; 121 II 59 E. 2 S. 61; 122 II 148 ff.), dessen Vollzug noch nicht möglich, jedoch absehbar ist ( BGE 125 II 369 E. 3a S. 374, 377 E. 2a S. 379). Zudem muss einer der in Art. 13b Abs. 1 ANAG genannten Haftgründe bestehen ( BGE 125 II 369 E. 3a S. 374, 377 E. 3a S. 381; 124 II 1 E. 1 S. 3).</w:t>
      </w:r>
    </w:p>
    <w:p>
      <w:r>
        <w:t>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seine Mitwirkungspflicht verletzt (vgl. die Neuformulierung von Art. 13b Abs. 1 lit. c ANAG vom 19. Dezember 2003 in AS 2004 1633), die Vollzugsbemühungen der Behörden erschwert oder sonst wie klar zu erkennen gibt, keinesfalls in sein Herkunftsland zurückkehren zu wollen ( BGE 125 II 369 E. 3b/aa S. 375). Bei einem straffälligen Ausländer ist eher als bei einem unbescholtenen davon auszugehen, er werde in Zukunft behördliche Anordnungen missachten ( BGE 122 II 49 E. 2a, 148 E. 2b/aa S. 152; 119 Ib 193 E. 2b S. 198).</w:t>
      </w:r>
    </w:p>
    <w:p>
      <w:r>
        <w:t>Gemäss dem neuen, am 1. April 2004 in Kraft getretenen Art. 13b Abs. 1 lit. d ANAG (in der Fassung vom 19. Dezember 2003; AS 2004 1633 und 1647) ist die Ausschaffungshaft überdies zulässig, wenn das zuständige Bundesamt einen Nichteintretensentscheid gestützt auf Art. 32 Abs. 2 lit. a-c des Asylgesetzes getroffen hat.</w:t>
      </w:r>
    </w:p>
    <w:p>
      <w:r>
        <w:rPr>
          <w:b/>
        </w:rPr>
        <w:t>E. 2.2</w:t>
      </w:r>
    </w:p>
    <w:p>
      <w:r>
        <w:t>Gegen den Beschwerdeführer liegt ein rechtskräftiger Wegweisungsentscheid vor, der bisher nicht vollzogen werden konnte. Der Beschwerdeführer macht freilich geltend, nach der Rechtsprechung der Schweizerischen Asylrekurskommission seien bei ihm die Voraussetzungen für einen asylrechtlichen Nichteintretensentscheid nicht erfüllt, womit er sinngemäss auch die Wegweisung in Frage stellt. Gegenstand des haftrichterlichen Verfahrens bildet indessen ausschliesslich die Rechtmässigkeit der Haftanordnung, nicht auch die Asyl- oder Wegweisungsfrage (vgl. Art. 100 Abs. 1 lit. b Ziff. 4 und 5 OG und Art. 11 Abs. 2 lit. b AsylG ). Der Haftrichter hat die Haft nur zu verweigern, wenn sich der zu sichernde Wegweisungsentscheid als offensichtlich unzulässig erweist ( BGE 125 II 217 E. 2 S. 220; 121 II 59 E. 2b S. 61). Das trifft im vorliegenden Fall nicht zu. Im Übrigen hätte der Beschwerdeführer die Möglichkeit gehabt, den asylrechtlichen Nichteintretens- und Wegweisungsentscheid des Bundesamts für Flüchtlinge bei der Schweizerischen Asylrekurskommission anzufechten.</w:t>
      </w:r>
    </w:p>
    <w:p>
      <w:r>
        <w:rPr>
          <w:b/>
        </w:rPr>
        <w:t>E. 2.3</w:t>
      </w:r>
    </w:p>
    <w:p>
      <w:r>
        <w:t>Das Amt für Polizeiwesen Graubünden stützte die Haft sowohl auf Art. 13b Abs. 1 lit. c ANAG (Untertauchensgefahr) als auch auf den neuen Haftgrund von Art. 13b Abs. 1 lit. d ANAG . In der Begründung des angefochtenen Entscheids verwies der Haftrichter bei seinen allgemeinen Erwägungen zur Rechtslage ebenfalls auf die beiden genannten Haftgründe, ohne freilich konkret zu prüfen, ob die entsprechenden Voraussetzungen im vorliegenden Fall tatsächlich erfüllt seien.</w:t>
      </w:r>
    </w:p>
    <w:p>
      <w:r>
        <w:rPr>
          <w:b/>
        </w:rPr>
        <w:t>E. 2.3.1</w:t>
      </w:r>
    </w:p>
    <w:p>
      <w:r>
        <w:t>Im Hinblick auf den Haftgrund der Untertauchensgefahr ist zunächst in Rechnung zu stellen, dass sich der Beschwerdeführer betont den Anschein gibt, zur Mitwirkung bei der Ausschaffung bereit zu sein. Sein grundsätzlicher Wille, die Schweiz zu verlassen, kann wohl kaum in Frage gestellt werden, ist doch erstellt, dass er einen gescheiterten Versuch unternahm, nach Grossbritannien auszureisen. Allerdings tat der Beschwerdeführer dies auf illegale Weise unter Verwendung eines gestohlenen, ihm nicht zustehenden Ausweises. Wie er legal in einen Drittstaat ausreisen möchte, legt er nicht dar. Für eine Heimkehr in sein Heimatland hätte er längst Anlass und Gelegenheit gehabt, die erforderlichen Vorkehren zu treffen, wollte er die Schweiz tatsächlich freiwillig verlassen. Es gibt jedoch keine Hinweise dafür, dass er eine solche Heimkehr tatsächlich beabsichtigt. Insbesondere belegt der Beschwerdeführer seine Behauptung nicht, mehrmals versucht zu haben, zu gültigen Dokumenten zu gelangen, und es finden sich dafür in den Akten auch keine Beweise. Vielmehr sprechen die Umstände dafür, dass der Beschwerdeführer versucht, eine Rückkehr in seinen Heimatstaat zu verhindern. So ist erstellt, dass er die Behörden über sein Alter getäuscht hat, und es liegen deutliche Anhaltspunkte dafür vor, dass seine Herkunftsangaben nicht stimmen können. Gemäss den behördlichen Expertisen sind seine Kenntnisse über die behauptete Heimat Liberia ungenügend und weist die von ihm gesprochene Sprache auf eine Herkunft aus Nigeria hin. Der Beschwerdeführer wurde zudem strafrechtlich verurteilt. Weniger von Bedeutung ist dabei im vorliegenden Zusammenhang die Verurteilung wegen illegalen Aufenthalts; ins Gewicht fällt jedoch diejenige wegen Diebstahls und Verwendung von dem Beschwerdeführer nicht zustehenden Ausweisen. Entgegen der in der Beschwerdeschrift vertretenen Auffassung steht dabei nicht im Vordergrund, dass der Beschwerdeführer damit seiner Ausreisepflicht nachkommen wollte; vielmehr wird dadurch belegt, dass er sich nicht an die gesetzmässige Ordnung hält und gerade nicht für eine rechtmässige Ausschaffung Hand bieten würde. Insgesamt bestehen damit genügend Anhaltspunkte dafür, dass sich der Beschwerdeführer der Ausschaffung entziehen würde, weshalb der Haftgrund von Art. 13b Abs. 1 lit. c ANAG gegeben ist.</w:t>
      </w:r>
    </w:p>
    <w:p>
      <w:r>
        <w:rPr>
          <w:b/>
        </w:rPr>
        <w:t>E. 2.3.2</w:t>
      </w:r>
    </w:p>
    <w:p>
      <w:r>
        <w:t>Fraglich erscheint, ob darüber hinaus auch die Voraussetzungen des (neuen) Haftgrunds von Art. 13b Abs. 1 lit. d ANAG erfüllt sind. Insbesondere blieb bisher ungeklärt, ob dieser Haftgrund auch anwendbar ist, wenn der asylrechtliche Nichteintretensentscheid, wie dies hier zutrifft, bereits vor Inkrafttreten von Art. 13b Abs. 1 lit. d ANAG erging. Wie es sich damit verhält, kann aber offen bleiben, da jedenfalls der Haftgrund der Untertauchensgefahr vorliegt (vgl. das Urteil des Bundesgerichts 2A.635/2004 vom 15. November 2004, E. 2.2 und 2.3).</w:t>
      </w:r>
    </w:p>
    <w:p>
      <w:r>
        <w:rPr>
          <w:b/>
        </w:rPr>
        <w:t>E. 3.1</w:t>
      </w:r>
    </w:p>
    <w:p>
      <w:r>
        <w:t>Nach Art. 13c Abs. 5 litc. a ANAG wird die Haft unter anderem dann beendet, wenn sich erweist, dass der Vollzug der Weg- oder Ausweisung aus rechtlichen oder tatsächlichen Gründen undurchführbar ist. Liegt der Beendigungsgrund von Anfang an vor, erweist sich auch eine Haftanordnung als unzulässig. Der Umstand allein, dass die Ausreise nur schwer organisiert werden kann und im Rahmen der entsprechenden Bemühungen mit ausländischen Behörden erst noch verhandelt werden muss, was erfahrungsgemäss eine gewisse Zeit in Anspruch nimmt, macht die Ausschaffung jedoch nicht bereits undurchführbar. Gerade wegen solcher Schwierigkeiten hat der Gesetzgeber die Haftdauer erheblich erhöht und die Möglichkeit der Haftverlängerung geschaffen. 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ist dann unzulässig, wenn triftige Gründe für die Undurchführbarkeit des Vollzugs sprechen oder praktisch feststeht, dass er sich innert vernünftiger Frist kaum wird realisieren lassen ( BGE 130 II 56 E. 4 S. 59 ff.; 127 II 168 E. 2c S. 172; je mit Hinweisen).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Nur falls keine oder bloss eine höchst unwahrscheinliche, rein theoretische Möglichkeit besteht, die Wegweisung zu vollziehen, ist die Haft aufzuheben, nicht indessen bei einer ernsthaften, wenn auch allenfalls (noch) geringen Aussicht hierauf ( BGE 130 II 56 E. 4.1.3 S. 61, mit Hinweisen).</w:t>
      </w:r>
    </w:p>
    <w:p>
      <w:r>
        <w:rPr>
          <w:b/>
        </w:rPr>
        <w:t>E. 3.2</w:t>
      </w:r>
    </w:p>
    <w:p>
      <w:r>
        <w:t>Gemäss einer in den Akten liegenden Mitteilung der Abteilung Vollzugsunterstützung des Eidgenössischen Justiz- und Polizeidepartements vom 10. Juni 2004 hat die nigerianische Botschaft in Bern in letzter Zeit bei Anhörungen keine Reisepapiere für Personen ausgestellt, die behaupten, aus einem anderen afrikanischen Land zu kommen. Der nigerianische Landesvertreter soll sich zudem dahingehend geäussert haben, keine Personen befragen zu wollen, die eine andere Nationalität angeben. Dies führt im vorliegenden Fall jedoch nicht dazu, dass die Ausschaffung bereits heute als tatsächlich unmöglich gelten kann. Die Herkunft des Beschwerdeführers ist gerade strittig und bisher nicht eindeutig abgeklärt. Es lässt sich daher auch keine Prognose darüber stellen, ob bei Kenntnis der Herkunft des Beschwerdeführers die erforderlichen Reisepapiere beschafft werden könnten. Der Fall lässt sich somit nicht mit Sachlagen vergleichen, in denen der Heimatstaat bei eindeutiger Herkunft die Übernahme von zwangsweise zurückgeführten Landsleuten verweigert (vgl. die Urteile 2A.312/2003 [Nigeria] und 2A.328/2003 [Kamerun] vom 17. bzw. 22. Juli 2003, E. 2.1). Würde sich der Beschwerdeführer zur nigerianischen Staatsangehörigkeit bekennen und mit den Behörden kooperieren, wäre ein Reisepapier gemäss Telefax der Abteilung Vollzugsunterstützung des Eidgenössischen Justiz- und Polizeidepartements vom 29. November 2004 erhältlich. Hätte der Beschwerdeführer, wie er behauptet, die liberianische Staatsangehörigkeit, stünde es den Behörden offen, auch in diese Richtung weitere Versuche zur Papierbeschaffung vorzunehmen. Jedenfalls kann gegenwärtig nicht davon ausgegangen werden, entsprechende behördliche Bemühungen seien auf längere Dauer zum Scheitern verurteilt. Die angeordnete Haft erweist sich demnach zurzeit nicht wegen tatsächlicher Unmöglichkeit als unzulässig.</w:t>
      </w:r>
    </w:p>
    <w:p>
      <w:r>
        <w:rPr>
          <w:b/>
        </w:rPr>
        <w:t>E. 4</w:t>
      </w:r>
    </w:p>
    <w:p>
      <w:r>
        <w:t>Schliesslich ist die Ausschaffungshaft auch nicht aus sonstigen Gründen unverhältnismässig. Der Beschwerdeführer wurde, nachdem er weggewiesen worden war, während längerer Zeit nicht in Ausschaffungshaft genommen, womit er die Gelegenheit gehabt hätte, selber für die nötigen Reisepapiere zu sorgen und freiwillig ordnungsgemäss auszureisen. Die Behörden haben ihn dazu auch aufgefordert. Erst als sich zeigte, dass der Beschwerdeführer seiner Ausreisepflicht nicht auf legalem Weg nachzukommen bereit war, wurde die Ausschaffungshaft angeordnet. Weiter steht auch das Alter des Beschwerdeführers einer Haft nicht entgegen, ist doch davon auszugehen, dass er nicht mehr minderjährig ist und jedenfalls das für die Anordnung von Ausschaffungshaft geltende Minimalalter von 15 Jahren (vgl. Art. 13c Abs. 3 zweiter Satz ANAG) überschritten hat.</w:t>
      </w:r>
    </w:p>
    <w:p>
      <w:r>
        <w:rPr>
          <w:b/>
        </w:rPr>
        <w:t>E. 5</w:t>
      </w:r>
    </w:p>
    <w:p>
      <w:r>
        <w:t>Die Verwaltungsgerichtsbeschwerde ist demzufolge unbegründet und abzuweisen.</w:t>
      </w:r>
    </w:p>
    <w:p>
      <w:r>
        <w:t>Angesichts der gegebenen Umstände und insbesondere aufgrund der Tatsache, dass vor der Vorinstanz der damalige Rechtsvertreter des Beschwerdeführers die Zulässigkeit der Haft ausdrücklich anerkannt hatte, erweist sich das Rechtsbegehren des Beschwerdeführers als aussichtslos. Damit ist seinem Antrag auf unentgeltliche Rechtspflege und Verbeiständung nicht zu entsprechen (vgl. Art. 152 OG ). Praxisgemäss kann aber angesichts der wahrscheinlichen Uneinbringlichkeit von der Erhebung einer Gerichtsgebühr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