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2A.680/2005 vom 13. Januar 2006</w:t>
      </w:r>
    </w:p>
    <w:p>
      <w:r>
        <w:t>Bundesgericht, 2006-01-13, DE</w:t>
      </w:r>
    </w:p>
    <w:p>
      <w:r>
        <w:rPr>
          <w:b/>
        </w:rPr>
        <w:t xml:space="preserve">Quelle: </w:t>
      </w:r>
      <w:r>
        <w:t>https://mcp.opencaselaw.ch/entscheid/bger_2A.680_2005</w:t>
      </w:r>
    </w:p>
    <w:p>
      <w:r>
        <w:t>FR: TF 2A.680/2005 du 13 janvier 2006</w:t>
      </w:r>
    </w:p>
    <w:p>
      <w:r>
        <w:t>IT: TF 2A.680/2005 del 13 gennaio 2006</w:t>
      </w:r>
    </w:p>
    <w:p>
      <w:pPr>
        <w:pStyle w:val="Heading2"/>
      </w:pPr>
      <w:r>
        <w:t>Regeste</w:t>
      </w:r>
    </w:p>
    <w:p>
      <w:r>
        <w:t>Nichtverlängerung der Aufenthaltsbewilligung und Wegweisung | Bürgerrecht und Ausländerrecht</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 BGE 130 II 281 E. 2.1 S. 284; 128 II 145 E. 1.1.1 S. 148 mit Hinweisen).</w:t>
      </w:r>
    </w:p>
    <w:p>
      <w:r>
        <w:rPr>
          <w:b/>
        </w:rPr>
        <w:t>E. 1.2</w:t>
      </w:r>
    </w:p>
    <w:p>
      <w:r>
        <w:t>Im vorliegenden Fall lebt die Beschwerdeführerin zwar getrennt von ihrem Ehegatten, die Ehe besteht aber formell weiterhin (vgl. BGE 126 II 265 E. 1b S. 266 mit Hinweis). Gemäss Art. 7 Abs. 1 des Bundesgesetzes vom 26. März 1931 über Aufenthalt und Niederlassung der Ausländer (ANAG; SR 142.20) besitzt die Beschwerdeführerin somit grundsätzlich einen Rechtsanspruch auf die Erteilung einer Aufenthaltsbewilligung, weshalb das Rechtsmittel der Verwaltungsgerichtsbeschwerde zulässig ist. Zu Recht macht die Beschwerdeführerin keinen Anspruch auf Niederlassungsbewilligung geltend; diese war nicht Gegenstand des angefochtenen Urteils. Wie sich aus den nachfolgenden Erwägungen ergibt, war die Ehe im Übrigen ohnehin bereits vor Entstehung eines Anspruchs auf die Niederlassungsbewilligung definitiv gescheitert.</w:t>
      </w:r>
    </w:p>
    <w:p>
      <w:r>
        <w:rPr>
          <w:b/>
        </w:rPr>
        <w:t>E. 1.3</w:t>
      </w:r>
    </w:p>
    <w:p>
      <w:r>
        <w:t>Nach Art. 105 Abs. 2 OG ist das Bundesgericht an die Sachverhaltsfeststellungen des angefochtenen Entscheids gebunden, wenn - wie hier - eine richterliche Behörde als Vorinstanz entschieden und den Sachverhalt nicht offensichtlich unrichtig, unvollständig oder unter Verletzung wesentlicher Verfahrensvorschriften ermittelt hat. Ausgeschlossen ist ferner die Überprüfung der Angemessenheit ( Art. 104 lit. c OG ).</w:t>
      </w:r>
    </w:p>
    <w:p>
      <w:r>
        <w:rPr>
          <w:b/>
        </w:rPr>
        <w:t>E. 2.1</w:t>
      </w:r>
    </w:p>
    <w:p>
      <w:r>
        <w:t>Gemäss Art. 7 Abs. 1 ANAG hat der ausländische Ehegatte eines Schweizer Bürgers grundsätzlich Anspruch auf Erteilung und Verlängerung der Aufenthaltsbewilligung. Kein Anspruch besteht, wenn die Ehe eingegangen worden ist, um die Vorschriften über Aufenthalt und Niederlassung von Ausländern zu umgehen ( Art. 7 Abs. 2 ANAG ), sowie bei rechtsmissbräuchlicher Berufung auf eine definitiv gescheiterte Ehe.</w:t>
      </w:r>
    </w:p>
    <w:p>
      <w:r>
        <w:rPr>
          <w:b/>
        </w:rPr>
        <w:t>E. 2.2</w:t>
      </w:r>
    </w:p>
    <w:p>
      <w:r>
        <w:t>Nach gefestigter bundesgerichtlicher Rechtsprechung liegt Rechtsmissbrauch vor, wenn der Ausländer sich im fremdenpolizeilichen Verfahren auf eine Ehe beruft, welche nur (noch) formell besteht oder aufrecht erhalten wird, mit dem alleinigen Ziel, ihm eine Anwesenheitsberechtigung zu ermöglichen; dieses Ziel wird von Art. 7 ANAG nicht geschützt ( BGE 128 II 145 E. 2.2 S. 151 mit Hinweisen). Dass die Ehe nur noch formell und ohne Aussicht auf Wiederaufnahme einer ehelichen Gemeinschaft besteht, entzieht sich in der Regel dem direkten Beweis und ist bloss durch Indizien zu erstellen ( BGE 130 II 113 E. 10.2 S. 135 mit Hinweis). Feststellungen über das Bestehen solcher Indizien können äussere Gegebenheiten, aber auch innere, psychische Vorgänge betreffen (Wille der Ehegatten); es handelt sich so oder anders um tatsächliche Feststellungen, welche für das Bundesgericht grundsätzlich verbindlich sind (oben E. 1.3). Frei zu prüfen ist die Rechtsfrage, ob die festgestellten Tatsachen (Indizien) darauf schliessen lassen, die Berufung auf die Ehe bezwecke die Umgehung fremdenpolizeilicher Vorschriften und sei rechtsmissbräuchlich ( BGE 128 II 145 E. 2.3 S. 152 mit Hinweisen).</w:t>
      </w:r>
    </w:p>
    <w:p>
      <w:r>
        <w:rPr>
          <w:b/>
        </w:rPr>
        <w:t>E. 3.1</w:t>
      </w:r>
    </w:p>
    <w:p>
      <w:r>
        <w:t>Das Rekursgericht im Ausländerrecht geht in seinem Urteil von der dargestellten Rechtsprechung zur missbräuchlichen Berufung auf die Ehe aus. Die Ehegatten haben sich im Januar 2004 getrennt und seither nicht mehr zusammengelebt. Im Juni 2004 wurde zudem die Gütertrennung angeordnet. Wie die Vorinstanz für das Bundesgericht verbindlich festgestellt hat, kommt für den Ehemann ein Zusammenleben nicht mehr in Frage. Ergänzend kann auf die Ausführungen im angefochtenen Urteil verwiesen werden ( Art. 36a Abs. 3 OG ). Hinweise darauf, dass diese Feststellungen offensichtlich unrichtig wären, sind nicht ersichtlich und gehen namentlich auch nicht aus den Vorbringen der Beschwerdeführerin hervor. Obwohl im vorliegenden Fall das Zusammenleben dreieinhalb Jahre gedauert hat, kann die Beschwerdeführerin aufgrund der Dauer der Trennung und der Tatsache, dass die Ehe für den Ehemann offensichtlich definitiv gescheitert ist und er sich scheiden lassen will, nicht ernsthaft damit rechnen, das eheliche Zusammenleben werde zu irgendeinem Zeitpunkt nochmals aufgenommen. Umstände oder eigene Bemühungen, die darauf schliessen liessen, dass konkret Hoffnung auf Versöhnung bestünde, macht die Beschwerdeführerin keine geltend. Die Gründe, die zum Scheitern der Ehe geführt haben, sind im Übrigen nicht von Belang, weshalb auf die diesbezüglichen Ausführungen der Beschwerdeführerin nicht einzugehen ist.</w:t>
      </w:r>
    </w:p>
    <w:p>
      <w:r>
        <w:rPr>
          <w:b/>
        </w:rPr>
        <w:t>E. 3.2</w:t>
      </w:r>
    </w:p>
    <w:p>
      <w:r>
        <w:t>Bei gesamthafter Betrachtung aller Indizien musste sich für das Rekursgericht der Schluss aufdrängen, dass keine Aussichten auf Wiederaufnahme der ehelichen Gemeinschaft mehr bestanden. Wenn sich die Beschwerdeführerin unter den dargelegten Umständen dennoch auf die Ehe beruft, um die Verlängerung der Aufenthaltsbewilligung für sich und ihren Sohn zu erwirken, handelt sie rechtsmissbräuchlich.</w:t>
      </w:r>
    </w:p>
    <w:p>
      <w:r>
        <w:rPr>
          <w:b/>
        </w:rPr>
        <w:t>E. 4</w:t>
      </w:r>
    </w:p>
    <w:p>
      <w:r>
        <w:t>Soweit die Beschwerdeführerin sinngemäss die Erteilung einer Aufenthaltsbewilligung gestützt auf Art. 4 ANAG verlangt, der die Bewilligung ins freie Ermessen der Behörden stellt, bzw. das Vorliegen eines Härtefalls geltend macht, ist die Verwaltungsgerichtsbeschwerde unzulässig und kann darauf nicht eingetreten werden (Art. 100 Abs. 1 lit. b Ziff. 3 OG). Im Übrigen wäre diesbezüglich auch die staatsrechtliche Beschwerde mangels Legitimation ausgeschlossen (vgl. BGE 126 I 81 E. 4-6 S. 85 ff.).</w:t>
      </w:r>
    </w:p>
    <w:p>
      <w:r>
        <w:rPr>
          <w:b/>
        </w:rPr>
        <w:t>E. 5.1</w:t>
      </w:r>
    </w:p>
    <w:p>
      <w:r>
        <w:t>Die Beschwerde ist somit offensichtlich unbegründet und im vereinfachten Verfahren nach Art. 36a OG abzuweisen, soweit darauf eingetreten werden kann.</w:t>
      </w:r>
    </w:p>
    <w:p>
      <w:r>
        <w:rPr>
          <w:b/>
        </w:rPr>
        <w:t>E. 5.2</w:t>
      </w:r>
    </w:p>
    <w:p>
      <w:r>
        <w:t>Bei diesem Ausgang des bundesgerichtlichen Verfahrens wird die Beschwerdeführerin kostenpflichtig (Art. 156 Abs. 1 in Verbindung mit Art. 153 OG ). Ihrem Gesuch um unentgeltliche Rechtspflege und Verbeiständung kann wegen Aussichtslosigkeit der Rechtsbegehren nicht entsprochen werden ( Art. 152 Abs. 1 OG ). Der finanziellen Lage der Beschwerdeführerin wird bei der Festsetzung der Gerichtsgebühr Rechnung getragen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