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2A.65/2003 vom 29. Juli 2003</w:t>
      </w:r>
    </w:p>
    <w:p>
      <w:r>
        <w:t>Bundesgericht, 2003-07-29, DE</w:t>
      </w:r>
    </w:p>
    <w:p>
      <w:r>
        <w:rPr>
          <w:b/>
        </w:rPr>
        <w:t xml:space="preserve">Quelle: </w:t>
      </w:r>
      <w:r>
        <w:t>https://mcp.opencaselaw.ch/entscheid/bger_2A.65_2003</w:t>
      </w:r>
    </w:p>
    <w:p>
      <w:r>
        <w:t>FR: TF 2A.65/2003 du 29 juillet 2003</w:t>
      </w:r>
    </w:p>
    <w:p>
      <w:r>
        <w:t>IT: TF 2A.65/2003 del 29 luglio 2003</w:t>
      </w:r>
    </w:p>
    <w:p>
      <w:pPr>
        <w:pStyle w:val="Heading2"/>
      </w:pPr>
      <w:r>
        <w:t>Regeste</w:t>
      </w:r>
    </w:p>
    <w:p>
      <w:r>
        <w:t>Öffentliche Finanzen &amp; Abgaberecht</w:t>
      </w:r>
    </w:p>
    <w:p>
      <w:pPr>
        <w:pStyle w:val="Heading2"/>
      </w:pPr>
      <w:r>
        <w:t>Erwägungen</w:t>
      </w:r>
    </w:p>
    <w:p>
      <w:r>
        <w:rPr>
          <w:b/>
        </w:rPr>
        <w:t>E. 1.1</w:t>
      </w:r>
    </w:p>
    <w:p>
      <w:r>
        <w:t>Die vorliegende Verwaltungsgerichtsbeschwerde richtet sich gegen einen auf öffentliches Recht des Bundes gestützten Entscheid der Eidgenössischen Zollrekurskommission und ist somit das zulässige Rechtsmittel ( Art. 97 und Art. 98 lit. e OG in Verbindung mit Art. 5 des Bundesgesetzes vom 20. Dezember 1968 über das Verwaltungsverfahren [VwVG; SR 172.021] und Art. 109 Abs. 1 lit. e des Zollgesetzes vom 1. Oktober 1925 [ZG; SR 631.0]), da kein Ausschlussgrund nach Art. 99 bis 102 OG, insbesondere nicht nach Art. 99 Abs. 1 lit. b, Art. 100 Abs. 1 lit. h oder Art. 100 Abs. 1 lit. m OG vorliegt. Als direkt Betroffener ist der Beschwerdeführer nach Art. 103 lit. a OG legitimiert. Gegenstand der Verwaltungsgerichtsbeschwerde ist einzig der Entscheid der Zollrekurskommission. Soweit die Aufhebung der Verfügung der Oberzolldirektion vom 16. April 2002 verlangt wird, ist deshalb auf die Beschwerde nicht einzutreten ( BGE 126 II 300 E. 2a S. 302 f., mit Hinweis).</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Im Rahmen der Verwaltungsgerichtsbeschwerde kann auch die gerügte Verletzung verfassungsmässiger Rechte beurteilt werden ( BGE 128 II 56 E. 2b S. 60; 126 II 300 E. 1b S. 302). Das Bundesgericht wendet im Verfahren der Verwaltungsgerichtsbeschwerde das Bundesrecht von Amtes wegen an; es ist nach Art. 114 Abs. 1 OG an die von den Parteien vorgebrachten Begründungen nicht gebunden und kann die Beschwerde auch aus anderen als den geltend gemachten Gründen gutheissen oder abweisen ( BGE 128 II 145 E. 1.2.2 S. 150 f.; 127 II 264 E. 1b S. 268, mit Hinweisen).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w:t>
      </w:r>
    </w:p>
    <w:p>
      <w:r>
        <w:t>Nach Art. 1 ZG hat, wer Waren über die Zollgrenze befördert, die Vorschriften für den Verkehr über die Grenze und die Entrichtung der Abgaben nach dem Zolltarifgesetz vom 9. Oktober 1986 (ZTG; SR 632.10) zu befolgen. Alle Waren, die über die schweizerische Zollgrenze eingeführt oder ausgeführt werden, müssen grundsätzlich nach dem Generaltarif in den Anhängen 1 und 2 verzollt werden ( Art. 1 Abs. 1 ZTG ), der auch die Zollkontingente regelt. Als Zollkontingent gilt eine bestimmte Menge eines landwirtschaftlichen Erzeugnisses, die zu einem bestimmten Zollansatz eingeführt werden kann. Die im Zusammenhang mit dem Beitritt der Schweiz zur Welthandelsorganisation (WTO) per 1. Juli 1995 und der Ratifizierung der entsprechenden GATT/WTO-Übereinkommen (Abkommen vom 15. April 1994 zur Errichtung der Welthandelsorganisation; SR 0.632.20) eingeführte Regelung erlaubt sowohl den Import inner- als auch ausserhalb eines Zollkontingents. Die Einfuhr innerhalb des Zollkontingents unterliegt jedoch einem geringeren Zollansatz, während für die Einfuhr ausserhalb des Zollkontingents regelmässig ein bedeutend höherer Zoll bezahlt werden muss, der gewöhnlich prohibitive Wirkung hat (vgl. BGE 129 II 160 E. 2.1 S. 163; 128 II 34 E. 2b S. 38; Botschaft des Bundesrates zur Reform der Agrarpolitik: Zweite Etappe [Agrarpolitik 2002], BBl 1996 IV S. 115). Im Agrarbereich hat der Bundesrat die Verteilung der Zollkontingente in den Art. 10 bis 20 der Allgemeinen Verordnung vom 7. Dezember 1998 über die Einfuhr von landwirtschaftlichen Erzeugnissen (Agrareinfuhrverordnung, AEV; SR 916.01) geregelt (vgl. Art. 10 Abs. 4 lit. b und c ZTG in Verbindung mit den Art. 20 bis 22 des Bundesgesetzes vom 29. April 1998 über die Landwirtschaft [Landwirtschaftsgesetz, LwG; SR 910.1]). Nach Art. 19 der Agrareinfuhrverordnung ist vor der Bezahlung des gesamten Zuschlagspreises die Einfuhr zum Kontingentszollansatz nicht zulässig (Abs. 2). Die Zahlungsfrist beträgt, vorbehältlich von Abs. 2, 60 Tage nach Rechtskraft des Zuschlags (Abs. 3). Mit dieser Regelung hat der Bundesrat eine Vorbedingung in Form der vorgängigen Bezahlung des gesamten Zuschlagspreises eingeführt, von deren Einhaltung die Einfuhr zu den Vorzugsbedingungen des Kontingentszollansatzes abhängt (vgl. BGE 129 II 160 E. 2.3 S. 165).</w:t>
      </w:r>
    </w:p>
    <w:p>
      <w:r>
        <w:rPr>
          <w:b/>
        </w:rPr>
        <w:t>E. 3.1</w:t>
      </w:r>
    </w:p>
    <w:p>
      <w:r>
        <w:t>Der Beschwerdeführer stellt die vorgenannte gesetzliche Regelung materiell nicht in Frage. Er macht auch nicht geltend, die fraglichen vier Pferde erst nach der Bezahlung des Zuschlagspreises eingeführt zu haben. Er rügt vielmehr eine Verletzung des Grundsatzes von Treu und Glauben im Rechtsverkehr zwischen Behörden und Bürger. Ein Hinweis auf Art. 19 Abs. 2 der Agrareinfuhrverordnung (Nichtzulässigkeit der Einfuhr vor Bezahlung des gesamten Zuschlagspreises) habe auf der Rechnungsverfügung gefehlt. In der Rechtsbelehrung sei auch kein Hinweis gewesen, die Zahlung sei unabhängig von der Zahlungsfrist bis zum 3. September 2001 jedenfalls vor dem ersten Import zu leisten. Im Vorjahr habe der Hinweis auf Art. 19 Abs. 2 der Agrareinfuhrverordnung noch auf beiden Formularen gefehlt. Er habe deshalb geglaubt, sich in guten Treuen auf die Vorderseite der Rechnung mit dem Zahlungsziel 3. September 2002 verlassen zu können.</w:t>
      </w:r>
    </w:p>
    <w:p>
      <w:r>
        <w:rPr>
          <w:b/>
        </w:rPr>
        <w:t>E. 3.2</w:t>
      </w:r>
    </w:p>
    <w:p>
      <w:r>
        <w:t>Äusserungen im Verkehr zwischen Behörden und Privaten sind so zu interpretieren, wie die jeweils andere Seite sie nach Treu und Glauben verstehen durfte ( Art. 4 aBV bzw. Art. 5 Abs. 3 und Art. 9 BV : BGE 126 II 97 E. 4b S. 104, mit Hinweisen), d.h. nach dem Vertrauensprinzip ist einer Willensäusserung der Sinn zu geben, den ihr der Empfänger aufgrund der Umstände, die ihm im Zeitpunkt des Empfangs bekannt waren oder hätten bekannt sein müssen, in guten Treuen beilegen durfte und beilegen musste ( BGE 103 Ia 505 E. 2b S. 509; Beatrice Weber-Dürler, Vertrauensschutz im öffentlichen Recht, Basel/Frankfurt am Main 1983, S. 40; vgl. auch BGE 129 I 161 E. 4.1 S. 170 ; 127 I 31 E. 3a S. 36; 121 II 473 E. 2c S. 479; 118 Ia 245 E. 4b S. 254, je mit Hinweisen).</w:t>
      </w:r>
    </w:p>
    <w:p>
      <w:r>
        <w:rPr>
          <w:b/>
        </w:rPr>
        <w:t>E. 3.3</w:t>
      </w:r>
    </w:p>
    <w:p>
      <w:r>
        <w:t>Fraglich ist zunächst, welche Bedeutung der Beschwerdeführer der in Rechtskraft erwachsenen Verfügung vom 21. Mai 2001 nach dem Vertrauensprinzip zumessen durfte und musste. Auf der zweiten Seite dieser Verfügung wird ausgeführt, dass "vor Bezahlung des gesamten Zuschlagspreises ... die Einfuhr zum Kontigentszollansatz (KZA) nicht zulässig" und "der gesamte Zuschlagspreis ... innert 60 Tagen nach Rechtskraft dieser Verfügung mit beigefügtem ESR auf das Postkonto 01-43834-7, Bundesamt für Landwirtschaft, 3003 Bern, zu überweisen" sei. Sie enthält den Verweis auf Art. 19 Abs. 2 der Agrareinfuhrverordnung, der die Vorbedingung der Vorauszahlung ausdrücklich nennt. Auch die Ausschreibung des Bundesamtes vom 2. April 2001, auf Grund derer der Beschwerdeführer sein Steigerungsgebot eingereicht hatte, enthielt denselben Hinweis, wenn auch in Ziffer 8 nicht ausdrücklich auf die Agrareinfuhrverordnung Bezug genommen wurde. Entgegen seiner Auffassung lag der Verfügung vom 21. Mai 2001 keine zweite Verfügung bei, sondern eine Rechnung mit einem Einzahlungsschein. Diese war als solche bezeichnet und enthielt den Hinweis: "Zahlbar bis zum 03.09.2001. Rechtsmittelbelehrung siehe Rückseite". Auf der Rückseite befand sich dreisprachig dieselbe Rechtsmittelbelehrung wie auf der zweiten Seite der Verfügung. Der Beschwerdeführer ist der Meinung, auf Grund der Rechnungsstellung habe er davon ausgehen dürfen, er erhalte auf jeden Fall eine Zahlungsfrist bis zum 3. September 2001. Nur ein nochmaliger Hinweis auf Art. 19 der Agrareinfuhrverordnung hätte einen Bürger, der keine genaue Gesetzeskenntnisse habe, dazu führen können, die Rechnung vor dem ersten Import zu bezahlen. Nach dem Vertrauensprinzip darf auch von einem Nichtjuristen erwartet werden, dass er eine ihn betreffende Verfügung aufmerksam durchliest und sich nicht nur die beiliegende Rechnung ansieht. Wenn ein juristischer Laie, der immerhin ein Zollkontingent ersteigert hat, in einem solchen Fall eine Textstelle nicht versteht, darf von ihm erwartet werden, dass er bei der zuständigen Behörde rückfragt. Das gilt auch, soweit sich der Beschwerdeführer darauf beruft, dass "das Kleingedruckte sehr oft für Laien schwer verständlich" sei. Dazu kommt, dass es sich vorliegend nicht um eine umfangreiche Verfügungsbegründung, sondern um einen kurzen Text handelt, dessen Durchsicht zumutbar ist. Demnach und da die Vorbedingung sowohl in der Ausschreibung wie auch in der Verfügung und der Agrareinfuhrverordnung ausdrücklich genannt war, musste auch für einen Laien, der seine Unterlagen mit der pflichtgemässen Aufmerksamkeit gelesen hat, klar sein, dass die Vorausbezahlung unabdingbare Voraussetzung für die Einfuhr zum vorteilhafteren Kontingentszollansatz war. Zu prüfen bleibt, ob der Beschwerdeführer auf Grund besonderer Umstände zu einem andern Verständnis gelangen durfte.</w:t>
      </w:r>
    </w:p>
    <w:p>
      <w:r>
        <w:rPr>
          <w:b/>
        </w:rPr>
        <w:t>E. 3.4</w:t>
      </w:r>
    </w:p>
    <w:p>
      <w:r>
        <w:t>Der Beschwerdeführer ruft zum Vergleich den Verfügungstext der andern Jahre an. Im Vorjahr 2000 habe auf beiden Formularen ein Hinweis auf Art. 19 Abs. 2 der Agrareinfuhrverordnung gefehlt, der Hinweis sei somit neu und nur auf der Rückseite der Verfügung sowie ohne Fettdruck enthalten. Bei knapp einer halben Seite Text erscheint es nicht notwendig, bestimmte Passagen grafisch hervorzuheben. Der umstrittene Hinweis steht gut leserlich in der gleichen Grösse wie der übrige Text oben auf der zweiten Seite der Verfügung. Der Beschwerdeführer macht nicht geltend, der im Vorjahr angeblich fehlende Hinweis auf Art. 19 der Agrareinfuhrverordnung hätte zu einer Vertrauen begründenden Praxis geführt, wonach er vor der Bezahlung des Zuschlagspreises schon Tiere zum Kontingentszollansatz hätte importieren dürfen. Dass das Bundesamt im Folgejahr 2002 auf der Verfügung bzw. auf dem Rechnungsformular den Hinweis auf rechtzeitige Bezahlung verdeutlichte, bedeutet wiederum nicht, dass die umstrittene Darstellung im Jahr 2001 gesetzwidrig war. Die Massnahme dient lediglich der besseren Verständlichkeit, ohne dass der Beschwerdeführer daraus etwas zu seinen Gunsten ableiten kann.</w:t>
      </w:r>
    </w:p>
    <w:p>
      <w:r>
        <w:rPr>
          <w:b/>
        </w:rPr>
        <w:t>E. 3.5</w:t>
      </w:r>
    </w:p>
    <w:p>
      <w:r>
        <w:t>Ebensowenig hilft dem Beschwerdeführer die Rüge, dem juristischen Laien sei aus der Zuteilungsverfügung und der Rechnung überhaupt nicht klar geworden, welche Konsequenzen die verspätete Bezahlung des Zuschlagspreises haben könnte. Der Beschwerdeführer hat sich um die Zuteilung eines Zollkontingents bemüht, weil dieser Zollansatz deutlich unter dem Ausserkontingentszollansatz liegt. So wie die Verfügung vom 21. Mai 2001 nach dem Vertrauensprinzip verstanden werden durfte, musste dem Beschwerdeführer als Importeur klar sein, dass die Nichteinhaltung der Bedingung die Verzollung zum Ausserkontingentszollansatz nach sich ziehen würde. Das Bundesamt war nicht verpflichtet, einen entsprechenden Hinweis auf der Verfügung oder auf der Rechnung anzubringen. Die Rüge der Verletzung von Treu und Glauben ist demnach unbegründet.</w:t>
      </w:r>
    </w:p>
    <w:p>
      <w:r>
        <w:rPr>
          <w:b/>
        </w:rPr>
        <w:t>E. 4</w:t>
      </w:r>
    </w:p>
    <w:p>
      <w:r>
        <w:t>Der Beschwerdeführer rügt schliesslich eine Verletzung des Grundsatzes der Verhältnismässigkeit, weil die Differenz das 32-fache des ersteigerten Zollbetrages ausmache. Das Gebot der Verhältnismässigkeit verlangt, dass die vom Gesetzgeber oder von der Behörde gewählten Massnahmen für das Erreichen des gesetzten Zieles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 BGE 128 II 292 E. 5.1 S. 297 f., mit Hinweisen). Zunächst ist festzuhalten, dass die Nachforderung keine Sanktion gegenüber dem Beschwerdeführer darstellt. Vielmehr handelt es sich um eine nachträgliche Zollabrechnung zum Ausserkontingentszollansatz, wie er im Zolltarif nach Art. 21 ZG vorgesehen ist, weil die Voraussetzungen für den Vorzugsansatz nach Art. 19 Abs. 2 der Agrareinfuhrverordnung nicht erfüllt waren. Die Oberzolldirektion war deshalb verpflichtet, den Ausserkontingentszollansatz bzw. die Differenz zum Kontingentszollansatz in Rechnung zu stellen. Die Berechnung selber ist nicht umstritten. Das Gebot der Verhältnismässigkeit ist somit nicht verletzt.</w:t>
      </w:r>
    </w:p>
    <w:p>
      <w:r>
        <w:rPr>
          <w:b/>
        </w:rPr>
        <w:t>E. 5</w:t>
      </w:r>
    </w:p>
    <w:p>
      <w:r>
        <w:t>Die Verwaltungsgerichtsbeschwerde erweist sich deshalb als unbegründet und ist abzuweisen, soweit darauf eingetreten werden kann. Entsprechend diesem Verfahrensausgang sind die bundesgerichtlichen Kosten dem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