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2A.652/2006 vom 2. Februar 2007</w:t>
      </w:r>
    </w:p>
    <w:p>
      <w:r>
        <w:t>Bundesgericht, 2007-02-02, DE</w:t>
      </w:r>
    </w:p>
    <w:p>
      <w:r>
        <w:rPr>
          <w:b/>
        </w:rPr>
        <w:t xml:space="preserve">Quelle: </w:t>
      </w:r>
      <w:r>
        <w:t>https://mcp.opencaselaw.ch/entscheid/bger_2A.652_2006</w:t>
      </w:r>
    </w:p>
    <w:p>
      <w:r>
        <w:t>FR: TF 2A.652/2006 du 2 février 2007</w:t>
      </w:r>
    </w:p>
    <w:p>
      <w:r>
        <w:t>IT: TF 2A.652/2006 del 2 febbraio 2007</w:t>
      </w:r>
    </w:p>
    <w:p>
      <w:pPr>
        <w:pStyle w:val="Heading2"/>
      </w:pPr>
      <w:r>
        <w:t>Erwägungen</w:t>
      </w:r>
    </w:p>
    <w:p>
      <w:r>
        <w:rPr>
          <w:b/>
        </w:rPr>
        <w:t>E. 1.1</w:t>
      </w:r>
    </w:p>
    <w:p>
      <w:r>
        <w:t>Der Entscheid der Steuerrekurskommission vom 24. November 2004 ist vor dem Inkrafttreten des BGG (Bundesgerichtsgesetz vom 17. Juni 2005; SR 173.110) am 1. Januar 2007 ergangen, weshalb dieses noch nicht anwendbar ist (vgl. Art. 132 Abs. 1 BGG ).</w:t>
      </w:r>
    </w:p>
    <w:p>
      <w:r>
        <w:rPr>
          <w:b/>
        </w:rPr>
        <w:t>E. 1.2</w:t>
      </w:r>
    </w:p>
    <w:p>
      <w:r>
        <w:t>Der angefochtene Entscheid der Steuerrekurskommission ist betreffend die direkte Bundessteuer für die Steuerperiode 2000 ein auf Steuerrecht des Bundes gestütztes, letztinstanzliches kantonales Urteil, das mit Verwaltungsgerichtsbeschwerde beim Bundesgericht angefochten werden kann ( Art. 97 Abs. 1 OG in Verbindung mit Art. 5 VwVG und Art. 98 lit. g OG sowie Art. 146 des Bundesgesetzes vom 14. Dezember 1990 über die direkte Bundessteuer [Bundessteuergesetz, DBG; SR 642.11]). Der Grundsatz der Parallelität der Verfahren findet erst auf Steuern für das Steuerjahr ab 1. Januar 2001 Anwendung (vgl. BGE 130 II 65 ). Als betroffene steuerpflichtige Person ist die Beschwerdeführerin zur Anfechtung des vorinstanzlichen Entscheids legitimiert ( Art. 103 lit. a OG ). Auf ihre form- und fristgerecht eingereichte Beschwerde ist einzutreten.</w:t>
      </w:r>
    </w:p>
    <w:p>
      <w:r>
        <w:rPr>
          <w:b/>
        </w:rPr>
        <w:t>E. 1.3</w:t>
      </w:r>
    </w:p>
    <w:p>
      <w:r>
        <w:t>Mit der Verwaltungsgerichtsbeschwerde kann die Beschwerdeführerin die Verletzung von Bundesrecht einschliesslich Überschreitung oder Missbrauch des Ermessens sowie die unrichtige oder unvollständige Feststellung des rechtserheblichen Sachverhalts rügen ( Art. 104 lit. a und b OG ).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w:t>
      </w:r>
    </w:p>
    <w:p>
      <w:r>
        <w:t>Das Bundesgericht wendet im verwaltungsgerichtlichen Beschwerdeverfahren das Bundesrecht von Amtes wegen an. Es ist gemäss Art. 114 Abs. 1 OG nicht an die Begründung der Parteibegehren gebunden und kann die Beschwerde auch aus anderen als den geltend gemachten Gründen gutheissen oder abweisen ( BGE 132 II 47 E. 1.3 S. 50).</w:t>
      </w:r>
    </w:p>
    <w:p>
      <w:r>
        <w:rPr>
          <w:b/>
        </w:rPr>
        <w:t>E. 2.1</w:t>
      </w:r>
    </w:p>
    <w:p>
      <w:r>
        <w:t>Gegenstand der Gewinnsteuer der juristischen Personen ist nach Art. 57 DBG der Reingewinn. Der steuerbare Reingewinn wird gemäss Art. 58 Abs. 1 DBG ermittelt auf Grund des Saldos der Erfolgsrechnung unter Berücksichtigung des Saldovortrages des Vorjahres (lit. a). Er wird erhöht um alle vor Berechnung des Saldos der Erfolgsrechnung ausgeschiedenen Teile des Geschäftsergebnisses, die nicht zur Deckung von geschäftsmässig begründetem Aufwand verwendet werden (lit. b), sowie um die der Erfolgsrechnung nicht gutgeschriebenen Erträge (lit. c). Das Gesetz knüpft an die handelsrechtliche Bilanz an, welche auch steuerrechtlich verbindlich ist, sofern die handelsrechtlichen Vorschriften beachtet wurden; vorbehalten bleiben die steuerlichen Korrekturvorschriften. Die Verbindlichkeit der Jahresrechnung ( Art. 662a OR ) entfällt nur insoweit, als sie gegen zwingende Vorschriften des Handelsrechts verstösst oder steuerliche Korrekturvorschriften zu beachten sind (Urteil 2A.549/2005 vom 16. Juni 2006, publ. in: Steuerpraxis des Kantons Schwyz StPS 24/2006 S. 100, E. 2.1 mit Hinweis; vgl. auch Peter Brülisauer/Stephan Kuhn, in: Martin Zweifel/Peter Athanas [Hrsg.], Kommentar zum Schweizerischen Steuerrecht, Band I/2b, Bundesgesetz über die direkte Bundessteuer, Basel/Genf/München 2000, Rz. 1 zu Art. 58 DBG ; Peter Locher, Kommentar zum DBG, II. Teil, Art. 49-101 DBG , Therwil/Basel 2004, Rz. 2 zu Art. 58 DBG ; Felix Richner/Walter Frei/Stefan Kaufmann, Handkommentar zum DBG, Zürich 2003, Rz. 1 zu Art. 58 DBG ).</w:t>
      </w:r>
    </w:p>
    <w:p>
      <w:r>
        <w:rPr>
          <w:b/>
        </w:rPr>
        <w:t>E. 2.2</w:t>
      </w:r>
    </w:p>
    <w:p>
      <w:r>
        <w:t>Der Buchwert der verkauften Liegenschaft lag gemäss Handelsbilanz zwar bei Fr. 611'300.--. Dieser Buchwert war allerdings durch erfolgsneutrale Aufwertung der Liegenschaft um Fr. 400'000.-- zustande gekommen. Deren steuerlich massgebender Buchwert betrug im Jahr 2000 mithin Fr. 211'300.--, weshalb die Gewinnberechnung der Steuerbehörde nicht zu beanstanden ist.</w:t>
      </w:r>
    </w:p>
    <w:p>
      <w:r>
        <w:t>Was die Beschwerdeführerin dagegen einwendet, kann offensichtlich nicht gehört werden. Der Umstand, dass die Munizipalgemeinde ihre Grundstücksteuer auf einem höheren, dem Verkehrswert angenäherten Buchwert erhob, steht dem nicht entgegen; denn die Bemessungsgrundlage für die Gewinnsteuer und für die kommunale Grundstücksteuer braucht nicht übereinzustimmen. Auch die angeblich unklaren Vermögensverhältnisse vor der "Besitzübernahme" 1996 (gemeint ist wohl die Änderung des Aktionariats) erlauben nicht, gestützt auf eine Norm des kantonalen Rechts die für die direkte Bundessteuer massgebenden Buchwerte zu ignorieren und durch einen dem Verkehrswert angenäherten Buchwert zu ersetzen.</w:t>
      </w:r>
    </w:p>
    <w:p>
      <w:r>
        <w:t>Zusammengefasst erfolgte die angefochtene Aufrechnung zu Recht, weshalb die Verwaltungsgerichtsbeschwerde betreffend die direkte Bundessteuer 2000 abzuweisen ist.</w:t>
      </w:r>
    </w:p>
    <w:p>
      <w:r>
        <w:rPr>
          <w:b/>
        </w:rPr>
        <w:t>E. 3</w:t>
      </w:r>
    </w:p>
    <w:p>
      <w:r>
        <w:t>Dem Verfahrensausgang entsprechend sind die Kosten des bundesgerichtlichen Verfahrens der Beschwerdeführerin aufzuerlegen ( Art. 156 Abs. 1 OG in Verbindung mit Art. 153 und Art. 153a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