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2A.648/2006 vom 2. November 2006</w:t>
      </w:r>
    </w:p>
    <w:p>
      <w:r>
        <w:t>Bundesgericht, 2006-11-02, DE</w:t>
      </w:r>
    </w:p>
    <w:p>
      <w:r>
        <w:rPr>
          <w:b/>
        </w:rPr>
        <w:t xml:space="preserve">Quelle: </w:t>
      </w:r>
      <w:r>
        <w:t>https://mcp.opencaselaw.ch/entscheid/bger_2A.648_2006</w:t>
      </w:r>
    </w:p>
    <w:p>
      <w:r>
        <w:t>FR: TF 2A.648/2006 du 2 novembre 2006</w:t>
      </w:r>
    </w:p>
    <w:p>
      <w:r>
        <w:t>IT: TF 2A.648/2006 del 2 novembre 2006</w:t>
      </w:r>
    </w:p>
    <w:p>
      <w:pPr>
        <w:pStyle w:val="Heading2"/>
      </w:pPr>
      <w:r>
        <w:t>Regeste</w:t>
      </w:r>
    </w:p>
    <w:p>
      <w:r>
        <w:t>Nichtverlängerung der 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könne sich auf eine Sondernorm des Bundesrechts oder eines Staatsvertrags berufen, die ihm einen Anspruch auf eine solche Bewilligung einräumt ( BGE 130 II 281 E. 2.1 S. 284; 128 II 145 E. 1.1.1 S. 148 mit Hinweisen).</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 BGE 128 II 145 E. 1.2.1 S. 150 mit Hinweisen). Die Arbeitsbestätigung vom 24. Oktober 2006 ist daher unbeachtlich. Sie wären ohnehin nicht geeignet, am Ausgang des Verfahrens etwas zu ändern.</w:t>
      </w:r>
    </w:p>
    <w:p>
      <w:r>
        <w:rPr>
          <w:b/>
        </w:rPr>
        <w:t>E. 2.1</w:t>
      </w:r>
    </w:p>
    <w:p>
      <w:r>
        <w:t>Nach Art. 17 Abs. 2 ANAG hat der ausländische Ehegatte eines niedergelassenen Ausländers Anspruch auf Erteilung und Verlängerung der Aufenthaltsbewilligung, solange die Ehegatten zusammen wohnen (Satz 1; vgl. BGE 130 II 113 E. 4.1 S. 116), sowie nach einem ordnungsgemässen und ununterbrochenen Aufenthalt von fünf Jahren Anspruch auf die Niederlassungsbewilligung (Satz 2). Die Ehe des Beschwerdeführers mit einer in der Schweiz niedergelassenen Ausländerin wurde am 21. Juni 2005 rechtskräftig geschieden. Ein Anspruch auf eine Aufenthaltsbewilligung nach Art. 17 Abs. 2 ANAG kann insoweit nicht mehr geltend gemacht werden. Nachdem die Ehe weniger als fünf Jahre gedauert hat, erwarb der Beschwerdeführer vor der Scheidung auch keinen Anspruch auf die Niederlassungsbewilligung, was das weniger weit gehende Recht auf eine Verlängerung der Aufenthaltsbewilligung in sich schlösse ( BGE 128 II 145 E. 1.1.4 S. 149).</w:t>
      </w:r>
    </w:p>
    <w:p>
      <w:r>
        <w:rPr>
          <w:b/>
        </w:rPr>
        <w:t>E. 2.2</w:t>
      </w:r>
    </w:p>
    <w:p>
      <w:r>
        <w:t>Die Härtefallregelung nach Art. 13 lit. f der Verordnung vom 6. Oktober 1986 über die Begrenzung der Zahl der Ausländer (BVO, Begrenzungsverordnung; SR 823.21) räumt dem Beschwerdeführer keinen Anspruch auf Anwesenheit in der Schweiz ein. Ob dem Bundesamt für Migration seitens der kantonalen Behörde ein Gesuch um Ausnahme des Beschwerdeführers von der zahlenmässigen Begrenzung zum Entscheid unterbreitet werden soll, unterliegt nicht der Überprüfung durch das Bundesgericht. Die Verwaltungsgerichtsbeschwerde ist nur gegen Entscheide des Eidgenössischen Justiz- und Polizeidepartements über die Ausnahme von den Höchstzahlen der Begrenzungsverordnung zulässig (vgl. BGE 122 II 403 E. 1 S. 404 f. mit Hinweis).</w:t>
      </w:r>
    </w:p>
    <w:p>
      <w:r>
        <w:rPr>
          <w:b/>
        </w:rPr>
        <w:t>E. 2.3</w:t>
      </w:r>
    </w:p>
    <w:p>
      <w:r>
        <w:t>Der Beschwerdeführer ist volljährig, und ein eigentliches Abhängigkeitsverhältnis zwischen ihm und seinen in der Schweiz lebenden, ebenfalls erwachsenen Familienangehörigen ist weder dargetan noch ersichtlich (vgl. BGE 129 II 11 E. 2 S. 14). Die Berufung auf das durch Art. 8 EMRK und Art. 13 Abs. 1 BV gewährleistete Recht auf Achtung des Familienlebens ist somit unbehelflich. Im vorliegenden Fall kann auch nicht von einem langjährigen Aufenthalt und einer ausserordentlich starken Verwurzelung und Integration des Beschwerdeführers in der Schweiz gesprochen werden, woraus sich gestützt auf das ebenfalls von Art. 8 Ziff. 1 EMRK umfasste Recht auf Achtung des Privatlebens unter ganz besonderen Umständen ein Anspruch auf Verbleib ableiten liesse ( BGE 130 II 281 E. 3.2.1 S. 286 f. mit Hinweisen; 120 Ib 16 E. 3b S. 22).</w:t>
      </w:r>
    </w:p>
    <w:p>
      <w:r>
        <w:rPr>
          <w:b/>
        </w:rPr>
        <w:t>E. 2.4</w:t>
      </w:r>
    </w:p>
    <w:p>
      <w:r>
        <w:t>Dem Beschwerdeführer steht somit weder nach Bundesrecht noch gemäss einer staatsvertraglichen Bestimmung ein Anspruch auf eine Aufenthaltsbewilligung zu.</w:t>
      </w:r>
    </w:p>
    <w:p>
      <w:r>
        <w:rPr>
          <w:b/>
        </w:rPr>
        <w:t>E. 3.1</w:t>
      </w:r>
    </w:p>
    <w:p>
      <w:r>
        <w:t>Auf die nach dem Ausgeführten offensichtlich unzulässige Verwaltungsgerichtsbeschwerde ist im vereinfachten Verfahren nach Art. 36a OG nicht einzutreten. Der angefochtene Entscheid enthält eine unrichtige Rechtsmittelbelehrung. Angesichts der klaren Rechtslage und der publizierten Praxis kann sich der durch einen Rechtsanwalt vertretene Beschwerdeführer daraus jedoch nichts für sich ableiten. Im Übrigen würde das Vertrauen in die unrichtige Rechtsmittelbelehrung an der Unzulässigkeit der Verwaltungsgerichtsbeschwerde ohnehin nichts ändern (vgl. z.B. Häfelin/Müller/Uhlmann, Allgemeines Verwaltungsrecht, 5. Aufl. N. 1646). Mit dem Entscheid in der Sache wird das Gesuch um aufschiebende Wirkung gegenstandslos. Nachdem keine Vernehmlassungen eingeholt wurden, bestand von vornherein kein Anlass für einen zweiten Schriftenwechsel.</w:t>
      </w:r>
    </w:p>
    <w:p>
      <w:r>
        <w:rPr>
          <w:b/>
        </w:rPr>
        <w:t>E. 3.2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