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2A.644/2006 vom 14. Februar 2007</w:t>
      </w:r>
    </w:p>
    <w:p>
      <w:r>
        <w:t>Bundesgericht, 2007-02-14, DE</w:t>
      </w:r>
    </w:p>
    <w:p>
      <w:r>
        <w:rPr>
          <w:b/>
        </w:rPr>
        <w:t xml:space="preserve">Quelle: </w:t>
      </w:r>
      <w:r>
        <w:t>https://mcp.opencaselaw.ch/entscheid/bger_2A.644_2006</w:t>
      </w:r>
    </w:p>
    <w:p>
      <w:r>
        <w:t>FR: TF 2A.644/2006 du 14 février 2007</w:t>
      </w:r>
    </w:p>
    <w:p>
      <w:r>
        <w:t>IT: TF 2A.644/2006 del 14 febbraio 2007</w:t>
      </w:r>
    </w:p>
    <w:p>
      <w:pPr>
        <w:pStyle w:val="Heading2"/>
      </w:pPr>
      <w:r>
        <w:t>Erwägungen</w:t>
      </w:r>
    </w:p>
    <w:p>
      <w:r>
        <w:rPr>
          <w:b/>
        </w:rPr>
        <w:t>E. 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die Zulässigkeit der bei ihm eingereichten Beschwerden von Amtes wegen und mit freier Kognition ( BGE 131 II 571 E. 1 S. 573, mit Hinweis).</w:t>
      </w:r>
    </w:p>
    <w:p>
      <w:r>
        <w:rPr>
          <w:b/>
        </w:rPr>
        <w:t>E. 2.1</w:t>
      </w:r>
    </w:p>
    <w:p>
      <w:r>
        <w:t>Der angefochtene Entscheid des Einzelrichters des Kantonsgerichts des Kantons Wallis betrifft eine Busse wegen Auskunftsverweigerung im Zusammenhang mit den Kantons- und Gemeindesteuern 2001/2002 (ausserordentliche Einkünfte) und 2003 des Beschwerdegegners; er unterliegt damit der Verwaltungsgerichtsbeschwerde an das Bundesgericht (Art. 73 Abs. 1 des Bundesgesetzes vom 14. Dezember 1990 über die Harmonisierung der direkten Steuern der Kantone und Gemeinden, StHG; SR 642.14; vgl. BGE 130 II 202 E. 1 S. 204, mit Hinweisen). Auf die form- und fristgerecht eingereichte Beschwerde der gemäss Art. 73 Abs. 2 StHG bzw. Art. 103 lit. c OG legitimierten Beschwerdeführerin ist einzutreten.</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w:t>
      </w:r>
    </w:p>
    <w:p>
      <w:r>
        <w:t>Das Bundesgericht wendet im verwaltungsgerichtlichen Beschwerdeverfahren das Bundesrecht von Amtes wegen an, ohne an die von den Parteien vorgebrachten Begründungen gebunden zu sein (Art. 114 Abs. 1 zweiter Halbsatz OG). Es kann die Beschwerde auch aus anderen als den geltend gemachten Gründen gutheissen oder abweisen ( BGE 131 II 361 E. 2 S. 366, mit Hinweisen).</w:t>
      </w:r>
    </w:p>
    <w:p>
      <w:r>
        <w:rPr>
          <w:b/>
        </w:rPr>
        <w:t>E. 2.3</w:t>
      </w:r>
    </w:p>
    <w:p>
      <w:r>
        <w:t>Bei Verwaltungsgerichtsbeschwerden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t>Im Fall der Gutheissung der Beschwerde kann das Bundesgericht den angefochtenen Entscheid nur kassieren, aber nicht an Stelle der kantonalen Behörde neu entscheiden ( Art. 73 Abs. 3 StHG ; BGE 130 II 509 E. 8.3 S. 512).</w:t>
      </w:r>
    </w:p>
    <w:p>
      <w:r>
        <w:rPr>
          <w:b/>
        </w:rPr>
        <w:t>E. 3.1</w:t>
      </w:r>
    </w:p>
    <w:p>
      <w:r>
        <w:t>Das kantonale Recht umschreibt die Obliegenheiten des Steuerpflichtigen in Art. 132 ff. des Steuergesetzes vom 10. März 1976 (StG/VS). Demnach hat der Steuerpflichtige vorab die Steuererklärung samt Beilagen innert angesetzter Frist der zuständigen Behörde einzureichen (vgl. Art. 132 StG /VS). Als "weitere Obliegenheit" sieht Art. 134 StG /VS zudem vor, dass der Steuerpflichtige "im Veranlagungs- und Einspracheverfahren der Veranlagungsbehörde alle Unterlagen und Auskünfte zu geben hat, die für seine Besteuerung notwendig sind".</w:t>
      </w:r>
    </w:p>
    <w:p>
      <w:r>
        <w:rPr>
          <w:b/>
        </w:rPr>
        <w:t>E. 3.2</w:t>
      </w:r>
    </w:p>
    <w:p>
      <w:r>
        <w:t>Nach dem Steuerharmonisierungsgesetz muss der Steuerpflichtige alles tun, um eine vollständige und richtige Veranlagung zu ermöglichen ( Art. 42 Abs. 1 StHG ). Er muss auf Verlangen der Veranlagungsbehörde insbesondere mündlich oder schriftlich Auskunft erteilen, Geschäftsbücher, Belege und weitere Bescheinigungen sowie Urkunden über den Geschäftsverkehr vorlegen ( Art. 42 Abs. 2 StHG ).</w:t>
      </w:r>
    </w:p>
    <w:p>
      <w:r>
        <w:t>Diese Bestimmung entspricht wörtlich Art. 126 Abs. 2 des Bundesgesetzes vom 14. Dezember 1990 über die direkte Bundessteuer (DBG; SR 642.11). Als detaillierte Regelung belässt sie dem kantonalen Gesetzgeber offensichtlich keinen Gestaltungsspielraum; sie fände gemäss Art. 72 Abs. 2 StHG direkt Anwendung, falls sich erweisen sollte, dass das kantonale Steuerrecht ihr widerspricht (Bernhard Greminger, in: Kommentar zum Schweizerischen Steuerrecht, Bd. I/1, Bundesgesetz über die Harmonisierung der direkten Steuern der Kantone und Gemeinden, 2. Aufl., Basel/Genf/München 2002, Rz. 16 zu Art. 72 StHG ; Adrian Kneubühler, Durchsetzung der Steuerharmonisierung, in: ASA 69 S. 209 ff., insbesondere S. 235). Wo die bundessteuergesetzliche und die harmonisierungsrechtliche Regelung vollkommen übereinstimmen, drängt sich zudem deren identische Auslegung auf. Dies im Interesse der vertikalen Steuerharmonisierung, die verlangt, dass Rechtsfragen im kantonalen und im eidgenössischen Recht der direkten Steuern nach Möglichkeit gleich beurteilt werden. So wird mit dem Erlass des Steuerharmonisierungsgesetzes auch der Zweck verfolgt, die Rechtsanwendung zu vereinfachen (Urteil 2A.123/2006 vom 10. Juli 2006, E. 2.1, publ. in: StE 2006 A 12 Nr. 15; vgl. auch ASA 75 S. 253 E. 5.2, je mit Hinweisen).</w:t>
      </w:r>
    </w:p>
    <w:p>
      <w:r>
        <w:rPr>
          <w:b/>
        </w:rPr>
        <w:t>E. 3.3</w:t>
      </w:r>
    </w:p>
    <w:p>
      <w:r>
        <w:t>Gemäss dem bis Ende 1994 geltenden Bundessteuerrecht konnte die Veranlagungsbehörde vom Steuerpflichtigen die "Vorlegung der in seinem Besitz befindlichen Bücher, Urkunden und sonstigen Belege sowie die Einreichung von Bescheinigungen und Aufstellungen verlangen, die vom Steuerpflichtigen zu beschaffen oder zu erstellen sind und die für die Veranlagung von Bedeutung sein können" (vgl. Art. 89 Abs. 2 des Bundesratsbeschlusses vom 9. Dezember 1940 über die Erhebung einer direkten Bundessteuer, BdBSt).</w:t>
      </w:r>
    </w:p>
    <w:p>
      <w:r>
        <w:t>Nach der bundesgerichtlichen Rechtsprechung zu Art. 89 Abs. 2 BdBSt erstreckte sich die Vorlegungspflicht auf alle Geschäftsbeziehungen, die für die Veranlagung des Steuerpflichtigen von Bedeutung sein konnten, insbesondere die Aufstellung der Gläubiger, Schulden und Schuldzinsen. Dies, auch ohne dass die Veranlagungsbehörde konkrete Zweifel an der Richtigkeit des ausgewiesenen Kapitals oder Reinertrags hatte. Keine Auskunftspflicht bestand lediglich für Auskünfte über Geschäftsbeziehungen, die nicht für die Veranlagung des Steuerpflichtigen, sondern ausschliesslich der Geschäftspartner von Bedeutung sein konnten ( BGE 107 Ib 213 E. 2 S. 216).</w:t>
      </w:r>
    </w:p>
    <w:p>
      <w:r>
        <w:t>An dieser Praxis hielt das Bundesgericht in der Folge trotz Kritik fest. Es erkannte insbesondere, dass auch das Verhältnismässigkeitsprinzip nicht verletzt werde, wenn die verlangte Aufstellung grundsätzlich geeignet sei, einen steuerbaren oder steuerbefreiten Tatbestand nachzuweisen. Einschränkend präzisierte es, dass eine Auskunftspflicht auch hinsichtlich solcher Auskünfte entfalle, deren Erteilung für den Steuerpflichtigen einen unzumutbaren Aufwand bedingen würde. Zusammengefasst entschied das Bundesgericht: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 ( BGE 120 Ib 417 E.1c S. 423).</w:t>
      </w:r>
    </w:p>
    <w:p>
      <w:r>
        <w:rPr>
          <w:b/>
        </w:rPr>
        <w:t>E. 3.4</w:t>
      </w:r>
    </w:p>
    <w:p>
      <w:r>
        <w:t>Das geltende Bundessteuerrecht regelt die Mitwirkungspflicht wie erwähnt in Art. 126 DBG . Das Bundesgericht hat zur Tragweite dieser Bestimmung in einem Urteil aus dem Jahr 1999 Stellung genommen (Urteil 2A.41/1997 vom 11. Januar 1999, publ. in: StR 54/1999 S. 353 ff.). Die betreffende Beschwerdeführerin hatte geltend gemacht, die Bestimmungen des neuen Rechts (DBG) seien anders formuliert als Art. 89 BdBSt und sähen keine derart weitgehenden Mitwirkungspflichten des Steuerpflichtigen mehr vor.</w:t>
      </w:r>
    </w:p>
    <w:p>
      <w:r>
        <w:t>Das Bundesgericht erwog, es treffe zu, dass Art. 126 DBG weniger ausführlich formuliert sei als Art. 89 BdBSt ; insbesondere werde dort nicht im Einzelnen ausgeführt, welche Auskünfte der Steuerpflichtige zu erteilen habe und welche Bescheinigungen von ihm verlangt werden können. Der Gesetzgeber habe damit aber nur den Gesetzestext vereinfachen und nicht geringere Anforderungen an die Mitwirkungspflichten stellen wollen, was sich klar aus der bundesrätlichen Botschaft ergebe. Zu einer Lockerung der Bestimmungen über die Mitwirkungspflicht des Steuerpflichtigen habe denn auch kein Anlass bestanden. Im Übrigen sei die bisherige Auslegung von Art. 89 Abs. 2 BdBSt durch den Wortlaut von Art. 126 DBG durchaus gedeckt (Urteil 2A.41/1997, a.a.O., E. 3b, mit Hinweisen auf die Materialien).</w:t>
      </w:r>
    </w:p>
    <w:p>
      <w:r>
        <w:rPr>
          <w:b/>
        </w:rPr>
        <w:t>E. 3.5</w:t>
      </w:r>
    </w:p>
    <w:p>
      <w:r>
        <w:t>Nach der dargestellten Rechtslage kann also die Veranlagungsbehörde vom Steuerpflichtigen sowohl nach geltendem Bundessteuer- als auch nach Steuerharmonisierungsrecht alle Auskünfte und Unterlagen verlangen, die für seine Veranlagung von Bedeutung sein können, vorausgesetzt, dass sie nicht ausschliesslich seine(n) Geschäftspartner betreffen und dass sie keinen unzumutbaren Aufwand bedingen. Soweit die kantonale Bestimmung die Vorlegungs- und Auskunftspflicht demgegenüber auf Unterlagen und Auskünfte beschränkt, die "für die Besteuerung notwendig" sind (vgl. Art. 134 StG /VS), widerspricht sie den harmonisierungsrechtlichen Vorgaben, und es findet insoweit Art. 42 Abs. 2 StHG direkt Anwendung (oben E. 3.2).</w:t>
      </w:r>
    </w:p>
    <w:p>
      <w:r>
        <w:rPr>
          <w:b/>
        </w:rPr>
        <w:t>E. 4</w:t>
      </w:r>
    </w:p>
    <w:p>
      <w:r>
        <w:t>In Anwendung dieser Grundsätze ist die hier umstrittene Aufforderung an den Beschwerdegegner, bestimmte Bankbescheinigungen beizubringen, nicht zu beanstanden:</w:t>
      </w:r>
    </w:p>
    <w:p>
      <w:r>
        <w:rPr>
          <w:b/>
        </w:rPr>
        <w:t>E. 4.1</w:t>
      </w:r>
    </w:p>
    <w:p>
      <w:r>
        <w:t>Die Vorinstanz bezweifelt zu Unrecht, dass die einverlangten Unterlagen an sich für die Veranlagung des Beschwerdegegners von Bedeutung sein können. Denn es ging darum abzuklären, ob die in den Lückenjahren 2001 und 2002 von der Y.________ ausgerichteten Zahlungen ausserordentlichen Charakter haben oder nicht (und damit gesondert steuerlich zu erfassen waren) bzw. ob die in den Geschäftsjahren 2001, 2002 und 2003 von der Y.________ ausgerichteten Zahlungen ordnungsgemäss deklariert wurden. Anhand der mit der Steuererklärung eingereichten Unterlagen waren diese Fragen nicht abschliessend überprüfbar. Dabei ist unbestritten, dass es um die Einschätzung bzw. die ausserordentlichen Einkünfte des Beschwerdegegners selber geht und nicht etwa um diejenigen seiner Geschäftspartner.</w:t>
      </w:r>
    </w:p>
    <w:p>
      <w:r>
        <w:rPr>
          <w:b/>
        </w:rPr>
        <w:t>E. 4.2</w:t>
      </w:r>
    </w:p>
    <w:p>
      <w:r>
        <w:t>Weiter hat die Vorinstanz zu Recht den Aufwand für das Erstellen der Bescheinigungen als zumutbar beurteilt. Weder für den Beschwerdegegner selber, der schriftlich an die Bank hätte gelangen sollen, noch für die Bank, welche die detaillierten Kontoauszüge über drei Jahre auszustellen hätte, wäre dies mit unverhältnismässigem Aufwand verbunden.</w:t>
      </w:r>
    </w:p>
    <w:p>
      <w:r>
        <w:rPr>
          <w:b/>
        </w:rPr>
        <w:t>E. 4.3</w:t>
      </w:r>
    </w:p>
    <w:p>
      <w:r>
        <w:t>Soweit die Vorinstanz eine Güterabwägung vornimmt und den Schutz der Privatsphäre des Steuerpflichtigen höher gewichtet als das Interesse des Staates an der umstrittenen "Kontrollmassnahme", übersieht sie, dass es sich hier nicht um eine "reine Kontrolle" handelt. Aber selbst wenn dem so wäre, würden Stichproben nach dem "Kontrollprinzip" auf einem hinreichenden öffentlichen Interesse beruhen, nämlich, um den gesetzmässigen Steuervollzug sicherzustellen (Markus Berger, Voraussetzungen und Anfechtung der Ermessensveranlagung, in: ASA 75 S. 185 ff., 190 f.). Aus diesem Grund müssen Kontrollmassnahmen auch zulässig sein, ohne dass berechtigte Zweifel an der richtigen oder vollständigen Sachverhaltsdarstellung vorliegen (vgl. BGE 120 Ib 417 E. 1a S. 421). Zudem ging es hier bei der Abklärung auch darum, allfällige ausserordentliche Einkünfte in den Lückenjahren 2001 und 2002 festzustellen.</w:t>
      </w:r>
    </w:p>
    <w:p>
      <w:r>
        <w:t>Sind die Voraussetzungen für ein Auskunftsbegehren erfüllt, so erübrigt sich in der Regel eine Güterabwägung und ist der behördlichen Aufforderung ohne Weiteres zu entsprechen. Der Steuerpflichtige hat nicht aus seiner naturgemäss einseitigen Optik heraus zu entscheiden, ob ihm eine behördliche Auflage passt oder nicht. Aus Art. 6 EMRK kann er nichts zu seinen Gunsten ableiten, denn diese Garantien, namentlich das Aussageverweigerungsrecht, beziehen sich nicht auf das ordentliche Steuerverfahren ( BGE 132 I 140 E. 2 S. 145 f.; Urteil 2A.480/2005 vom 23. Februar 2006, E. 2.2, publ. in: StR 61/2006 S. 372, 373 f., je mit Hinweisen). Was schliesslich den Schutz der Privatsphäre anbelangt, wird dieser durch das strenge Steuergeheimnis hinreichend gewährleistet (vgl. Art. 120 StG /VS; Art. 39 Abs. 1 StHG ; Art. 110 DBG ).</w:t>
      </w:r>
    </w:p>
    <w:p>
      <w:r>
        <w:rPr>
          <w:b/>
        </w:rPr>
        <w:t>E. 5</w:t>
      </w:r>
    </w:p>
    <w:p>
      <w:r>
        <w:t>Der Steuerpflichtige, der einer aufgrund des Steuergesetzes getroffenen Anordnung trotz persönlicher Mahnung schuldhaft nicht nachkommt, insbesondere eine Auskunfts- oder Bescheinigungspflicht nicht erfüllt, wird mit Busse bis zu Fr. 1'000.--, in schweren Fällen oder bei Rückfall bis zu Fr. 10'000.--, bestraft ( Art. 202 StG /VS; vgl. auch Art. 55 StHG ).</w:t>
      </w:r>
    </w:p>
    <w:p>
      <w:r>
        <w:t>Der Beschwerdegegner wurde mehrfach gemahnt und auf die Ungehorsamsfolgen aufmerksam gemacht. Die verfügte Busse von Fr. 500.-- ist nicht zu beanstanden.</w:t>
      </w:r>
    </w:p>
    <w:p>
      <w:r>
        <w:rPr>
          <w:b/>
        </w:rPr>
        <w:t>E. 6</w:t>
      </w:r>
    </w:p>
    <w:p>
      <w:r>
        <w:t>Die Verwaltungsgerichtsbeschwerde wird gutgeheissen und das angefochtene Urteil, das sich als rechtsfehlerhaft erweist, wird aufgehoben. Die Sache ist zu neuer Beurteilung an die Vorinstanz zurückzuweisen (vgl. Art. 73 Abs. 3 StHG ).</w:t>
      </w:r>
    </w:p>
    <w:p>
      <w:r>
        <w:t>Bei diesem Verfahrensausgang sind die Kosten des bundesgerichtlichen Verfahrens dem Beschwerdegegner aufzuerlegen (Art. 156 Abs. 1 in Verbindung mit Art. 153 und Art. 153a OG ). Eine Parteientschädigung ist nicht geschuldet ( Art. 159 OG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